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883"/>
        <w:rPr>
          <w:sz w:val="36"/>
          <w:szCs w:val="21"/>
        </w:rPr>
      </w:pPr>
      <w:bookmarkStart w:id="0" w:name="_Toc50586031"/>
      <w:bookmarkStart w:id="1" w:name="_Toc50582534"/>
      <w:bookmarkStart w:id="2" w:name="_Toc50581781"/>
      <w:bookmarkStart w:id="3" w:name="_Toc50582926"/>
      <w:bookmarkStart w:id="4" w:name="_Toc50586068"/>
      <w:r>
        <w:rPr>
          <w:sz w:val="44"/>
        </w:rPr>
        <w:drawing>
          <wp:anchor distT="0" distB="0" distL="114300" distR="114300" simplePos="0" relativeHeight="251659264" behindDoc="1" locked="0" layoutInCell="1" allowOverlap="1">
            <wp:simplePos x="0" y="0"/>
            <wp:positionH relativeFrom="column">
              <wp:posOffset>-36195</wp:posOffset>
            </wp:positionH>
            <wp:positionV relativeFrom="paragraph">
              <wp:posOffset>505460</wp:posOffset>
            </wp:positionV>
            <wp:extent cx="4632325" cy="1056005"/>
            <wp:effectExtent l="0" t="0" r="0" b="0"/>
            <wp:wrapNone/>
            <wp:docPr id="4" name="图片 4" descr="8718b2528c0fcdb76323ca81cf885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718b2528c0fcdb76323ca81cf8854c"/>
                    <pic:cNvPicPr>
                      <a:picLocks noChangeAspect="1" noChangeArrowheads="1"/>
                    </pic:cNvPicPr>
                  </pic:nvPicPr>
                  <pic:blipFill>
                    <a:blip r:embed="rId5">
                      <a:biLevel thresh="50000"/>
                      <a:grayscl/>
                      <a:extLst>
                        <a:ext uri="{28A0092B-C50C-407E-A947-70E740481C1C}">
                          <a14:useLocalDpi xmlns:a14="http://schemas.microsoft.com/office/drawing/2010/main" val="0"/>
                        </a:ext>
                      </a:extLst>
                    </a:blip>
                    <a:srcRect/>
                    <a:stretch>
                      <a:fillRect/>
                    </a:stretch>
                  </pic:blipFill>
                  <pic:spPr>
                    <a:xfrm>
                      <a:off x="0" y="0"/>
                      <a:ext cx="4632325" cy="1056005"/>
                    </a:xfrm>
                    <a:prstGeom prst="rect">
                      <a:avLst/>
                    </a:prstGeom>
                    <a:noFill/>
                  </pic:spPr>
                </pic:pic>
              </a:graphicData>
            </a:graphic>
          </wp:anchor>
        </w:drawing>
      </w:r>
      <w:r>
        <w:rPr>
          <w:sz w:val="44"/>
        </w:rPr>
        <w:drawing>
          <wp:anchor distT="0" distB="0" distL="114300" distR="114300" simplePos="0" relativeHeight="251660288" behindDoc="1" locked="0" layoutInCell="1" allowOverlap="1">
            <wp:simplePos x="0" y="0"/>
            <wp:positionH relativeFrom="column">
              <wp:posOffset>-505460</wp:posOffset>
            </wp:positionH>
            <wp:positionV relativeFrom="paragraph">
              <wp:posOffset>120650</wp:posOffset>
            </wp:positionV>
            <wp:extent cx="1498600" cy="1605915"/>
            <wp:effectExtent l="0" t="0" r="6350" b="0"/>
            <wp:wrapTight wrapText="bothSides">
              <wp:wrapPolygon>
                <wp:start x="0" y="0"/>
                <wp:lineTo x="0" y="21267"/>
                <wp:lineTo x="21417" y="21267"/>
                <wp:lineTo x="21417" y="0"/>
                <wp:lineTo x="0" y="0"/>
              </wp:wrapPolygon>
            </wp:wrapTight>
            <wp:docPr id="2" name="图片 2" descr="103f59a29c90e842a4dd6875f127a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03f59a29c90e842a4dd6875f127a79"/>
                    <pic:cNvPicPr>
                      <a:picLocks noChangeAspect="1" noChangeArrowheads="1"/>
                    </pic:cNvPicPr>
                  </pic:nvPicPr>
                  <pic:blipFill>
                    <a:blip r:embed="rId6" cstate="print">
                      <a:extLst>
                        <a:ext uri="{28A0092B-C50C-407E-A947-70E740481C1C}">
                          <a14:useLocalDpi xmlns:a14="http://schemas.microsoft.com/office/drawing/2010/main" val="0"/>
                        </a:ext>
                      </a:extLst>
                    </a:blip>
                    <a:srcRect l="9915" r="11272"/>
                    <a:stretch>
                      <a:fillRect/>
                    </a:stretch>
                  </pic:blipFill>
                  <pic:spPr>
                    <a:xfrm>
                      <a:off x="0" y="0"/>
                      <a:ext cx="1498600" cy="1605915"/>
                    </a:xfrm>
                    <a:prstGeom prst="rect">
                      <a:avLst/>
                    </a:prstGeom>
                    <a:noFill/>
                  </pic:spPr>
                </pic:pic>
              </a:graphicData>
            </a:graphic>
          </wp:anchor>
        </w:drawing>
      </w:r>
      <w:bookmarkEnd w:id="0"/>
      <w:bookmarkEnd w:id="1"/>
      <w:bookmarkEnd w:id="2"/>
      <w:bookmarkEnd w:id="3"/>
      <w:bookmarkEnd w:id="4"/>
      <w:r>
        <w:t xml:space="preserve">    </w:t>
      </w:r>
    </w:p>
    <w:p>
      <w:pPr>
        <w:pStyle w:val="2"/>
      </w:pPr>
    </w:p>
    <w:p>
      <w:pPr>
        <w:pStyle w:val="2"/>
      </w:pPr>
    </w:p>
    <w:p>
      <w:pPr>
        <w:jc w:val="center"/>
        <w:rPr>
          <w:rFonts w:ascii="方正粗黑宋简体" w:hAnsi="方正粗黑宋简体" w:eastAsia="方正粗黑宋简体" w:cs="方正粗黑宋简体"/>
          <w:bCs/>
          <w:kern w:val="44"/>
          <w:sz w:val="44"/>
        </w:rPr>
      </w:pPr>
    </w:p>
    <w:p>
      <w:pPr>
        <w:jc w:val="center"/>
        <w:rPr>
          <w:rFonts w:ascii="方正粗黑宋简体" w:hAnsi="方正粗黑宋简体" w:eastAsia="方正粗黑宋简体" w:cs="方正粗黑宋简体"/>
          <w:bCs/>
          <w:kern w:val="44"/>
          <w:sz w:val="44"/>
        </w:rPr>
      </w:pPr>
    </w:p>
    <w:p>
      <w:pPr>
        <w:jc w:val="center"/>
        <w:rPr>
          <w:rFonts w:ascii="方正粗黑宋简体" w:hAnsi="方正粗黑宋简体" w:eastAsia="方正粗黑宋简体" w:cs="方正粗黑宋简体"/>
          <w:bCs/>
          <w:kern w:val="44"/>
          <w:sz w:val="44"/>
        </w:rPr>
      </w:pPr>
    </w:p>
    <w:p>
      <w:pPr>
        <w:jc w:val="center"/>
        <w:rPr>
          <w:rFonts w:ascii="方正粗黑宋简体" w:hAnsi="方正粗黑宋简体" w:eastAsia="方正粗黑宋简体" w:cs="方正粗黑宋简体"/>
          <w:bCs/>
          <w:kern w:val="44"/>
          <w:sz w:val="44"/>
        </w:rPr>
      </w:pPr>
    </w:p>
    <w:p>
      <w:pPr>
        <w:jc w:val="center"/>
        <w:rPr>
          <w:rFonts w:ascii="方正粗黑宋简体" w:hAnsi="方正粗黑宋简体" w:eastAsia="方正粗黑宋简体" w:cs="方正粗黑宋简体"/>
          <w:bCs/>
          <w:kern w:val="44"/>
          <w:sz w:val="44"/>
        </w:rPr>
      </w:pPr>
      <w:r>
        <w:rPr>
          <w:rFonts w:hint="eastAsia" w:ascii="方正粗黑宋简体" w:hAnsi="方正粗黑宋简体" w:eastAsia="方正粗黑宋简体" w:cs="方正粗黑宋简体"/>
          <w:bCs/>
          <w:kern w:val="44"/>
          <w:sz w:val="44"/>
        </w:rPr>
        <w:t>2020年基层卫生人才学历提升</w:t>
      </w:r>
    </w:p>
    <w:p>
      <w:pPr>
        <w:jc w:val="center"/>
        <w:rPr>
          <w:rFonts w:hint="eastAsia" w:ascii="方正粗黑宋简体" w:hAnsi="方正粗黑宋简体" w:eastAsia="方正粗黑宋简体" w:cs="方正粗黑宋简体"/>
          <w:b/>
          <w:kern w:val="44"/>
          <w:sz w:val="44"/>
        </w:rPr>
      </w:pPr>
      <w:r>
        <w:rPr>
          <w:rFonts w:hint="eastAsia" w:ascii="方正粗黑宋简体" w:hAnsi="方正粗黑宋简体" w:eastAsia="方正粗黑宋简体" w:cs="方正粗黑宋简体"/>
          <w:b/>
          <w:kern w:val="44"/>
          <w:sz w:val="44"/>
        </w:rPr>
        <w:t>《人才培养方案》</w:t>
      </w:r>
    </w:p>
    <w:p>
      <w:pPr>
        <w:spacing w:line="360" w:lineRule="auto"/>
        <w:jc w:val="center"/>
        <w:rPr>
          <w:rFonts w:hint="eastAsia" w:ascii="方正粗黑宋简体" w:hAnsi="方正粗黑宋简体" w:eastAsia="方正粗黑宋简体" w:cs="方正粗黑宋简体"/>
          <w:bCs/>
          <w:kern w:val="44"/>
          <w:sz w:val="36"/>
          <w:szCs w:val="36"/>
        </w:rPr>
      </w:pPr>
    </w:p>
    <w:p>
      <w:pPr>
        <w:spacing w:line="360" w:lineRule="auto"/>
        <w:ind w:firstLine="3240" w:firstLineChars="900"/>
        <w:rPr>
          <w:rFonts w:hint="eastAsia" w:ascii="方正粗黑宋简体" w:hAnsi="方正粗黑宋简体" w:eastAsia="方正粗黑宋简体" w:cs="方正粗黑宋简体"/>
          <w:bCs/>
          <w:kern w:val="44"/>
          <w:sz w:val="36"/>
          <w:szCs w:val="36"/>
        </w:rPr>
      </w:pPr>
      <w:r>
        <w:rPr>
          <w:rFonts w:hint="eastAsia" w:ascii="方正粗黑宋简体" w:hAnsi="方正粗黑宋简体" w:eastAsia="方正粗黑宋简体" w:cs="方正粗黑宋简体"/>
          <w:bCs/>
          <w:kern w:val="44"/>
          <w:sz w:val="36"/>
          <w:szCs w:val="36"/>
        </w:rPr>
        <w:t>专业名称：临床医学</w:t>
      </w:r>
    </w:p>
    <w:p>
      <w:pPr>
        <w:spacing w:line="360" w:lineRule="auto"/>
        <w:jc w:val="center"/>
        <w:rPr>
          <w:rFonts w:hint="eastAsia" w:ascii="方正粗黑宋简体" w:hAnsi="方正粗黑宋简体" w:eastAsia="方正粗黑宋简体" w:cs="方正粗黑宋简体"/>
          <w:bCs/>
          <w:kern w:val="44"/>
          <w:sz w:val="36"/>
          <w:szCs w:val="36"/>
        </w:rPr>
      </w:pPr>
    </w:p>
    <w:p>
      <w:pPr>
        <w:spacing w:line="360" w:lineRule="auto"/>
        <w:jc w:val="center"/>
      </w:pPr>
      <w:r>
        <w:rPr>
          <w:rFonts w:hint="eastAsia" w:ascii="方正粗黑宋简体" w:hAnsi="方正粗黑宋简体" w:eastAsia="方正粗黑宋简体" w:cs="方正粗黑宋简体"/>
          <w:bCs/>
          <w:kern w:val="44"/>
          <w:sz w:val="36"/>
          <w:szCs w:val="36"/>
        </w:rPr>
        <w:t xml:space="preserve"> 专业代码：</w:t>
      </w:r>
      <w:bookmarkStart w:id="5" w:name="_Toc50581782"/>
      <w:bookmarkEnd w:id="5"/>
      <w:r>
        <w:rPr>
          <w:rFonts w:ascii="方正粗黑宋简体" w:hAnsi="方正粗黑宋简体" w:eastAsia="方正粗黑宋简体" w:cs="方正粗黑宋简体"/>
          <w:bCs/>
          <w:kern w:val="44"/>
          <w:sz w:val="36"/>
          <w:szCs w:val="36"/>
        </w:rPr>
        <w:t>620101K</w:t>
      </w:r>
    </w:p>
    <w:p>
      <w:pPr>
        <w:spacing w:line="360" w:lineRule="auto"/>
        <w:jc w:val="center"/>
        <w:rPr>
          <w:rFonts w:ascii="宋体" w:hAnsi="宋体" w:cs="宋体"/>
          <w:b/>
          <w:sz w:val="32"/>
          <w:szCs w:val="32"/>
        </w:rPr>
      </w:pPr>
      <w:r>
        <w:drawing>
          <wp:anchor distT="0" distB="0" distL="114300" distR="114300" simplePos="0" relativeHeight="251661312" behindDoc="1" locked="0" layoutInCell="1" allowOverlap="1">
            <wp:simplePos x="0" y="0"/>
            <wp:positionH relativeFrom="column">
              <wp:posOffset>1769745</wp:posOffset>
            </wp:positionH>
            <wp:positionV relativeFrom="paragraph">
              <wp:posOffset>349885</wp:posOffset>
            </wp:positionV>
            <wp:extent cx="2879725" cy="1877060"/>
            <wp:effectExtent l="0" t="0" r="0" b="8890"/>
            <wp:wrapThrough wrapText="bothSides">
              <wp:wrapPolygon>
                <wp:start x="0" y="0"/>
                <wp:lineTo x="0" y="21483"/>
                <wp:lineTo x="21433" y="21483"/>
                <wp:lineTo x="21433" y="0"/>
                <wp:lineTo x="0" y="0"/>
              </wp:wrapPolygon>
            </wp:wrapThrough>
            <wp:docPr id="1" name="图片 1" descr="Scan_20200520_155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can_20200520_155404"/>
                    <pic:cNvPicPr>
                      <a:picLocks noChangeAspect="1" noChangeArrowheads="1"/>
                    </pic:cNvPicPr>
                  </pic:nvPicPr>
                  <pic:blipFill>
                    <a:blip r:embed="rId7">
                      <a:extLst>
                        <a:ext uri="{28A0092B-C50C-407E-A947-70E740481C1C}">
                          <a14:useLocalDpi xmlns:a14="http://schemas.microsoft.com/office/drawing/2010/main" val="0"/>
                        </a:ext>
                      </a:extLst>
                    </a:blip>
                    <a:srcRect l="8075" t="10396" r="18701" b="11783"/>
                    <a:stretch>
                      <a:fillRect/>
                    </a:stretch>
                  </pic:blipFill>
                  <pic:spPr>
                    <a:xfrm>
                      <a:off x="0" y="0"/>
                      <a:ext cx="2879725" cy="1877060"/>
                    </a:xfrm>
                    <a:prstGeom prst="rect">
                      <a:avLst/>
                    </a:prstGeom>
                    <a:noFill/>
                  </pic:spPr>
                </pic:pic>
              </a:graphicData>
            </a:graphic>
          </wp:anchor>
        </w:drawing>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pStyle w:val="3"/>
        <w:jc w:val="center"/>
        <w:rPr>
          <w:rFonts w:ascii="黑体" w:hAnsi="黑体" w:eastAsia="黑体"/>
          <w:sz w:val="32"/>
          <w:szCs w:val="32"/>
        </w:rPr>
      </w:pPr>
    </w:p>
    <w:p>
      <w:pPr>
        <w:pStyle w:val="3"/>
        <w:jc w:val="center"/>
        <w:rPr>
          <w:rFonts w:ascii="黑体" w:hAnsi="黑体" w:eastAsia="黑体"/>
          <w:sz w:val="32"/>
          <w:szCs w:val="32"/>
        </w:rPr>
      </w:pPr>
    </w:p>
    <w:p>
      <w:pPr>
        <w:pStyle w:val="3"/>
        <w:jc w:val="center"/>
        <w:rPr>
          <w:rFonts w:ascii="黑体" w:hAnsi="黑体" w:eastAsia="黑体"/>
          <w:sz w:val="32"/>
          <w:szCs w:val="32"/>
        </w:rPr>
      </w:pPr>
    </w:p>
    <w:p>
      <w:pPr>
        <w:pStyle w:val="3"/>
        <w:ind w:firstLine="4160" w:firstLineChars="1300"/>
        <w:jc w:val="both"/>
        <w:rPr>
          <w:rFonts w:ascii="黑体" w:hAnsi="黑体" w:eastAsia="黑体"/>
          <w:b/>
          <w:bCs/>
          <w:sz w:val="32"/>
          <w:szCs w:val="32"/>
        </w:rPr>
      </w:pPr>
      <w:r>
        <w:rPr>
          <w:rFonts w:ascii="黑体" w:hAnsi="黑体" w:eastAsia="黑体"/>
          <w:sz w:val="32"/>
          <w:szCs w:val="32"/>
        </w:rPr>
        <w:t>目</w:t>
      </w:r>
      <w:r>
        <w:rPr>
          <w:rFonts w:hint="eastAsia" w:ascii="黑体" w:hAnsi="黑体" w:eastAsia="黑体"/>
          <w:sz w:val="32"/>
          <w:szCs w:val="32"/>
        </w:rPr>
        <w:t xml:space="preserve"> </w:t>
      </w:r>
      <w:r>
        <w:rPr>
          <w:rFonts w:ascii="黑体" w:hAnsi="黑体" w:eastAsia="黑体"/>
          <w:sz w:val="32"/>
          <w:szCs w:val="32"/>
        </w:rPr>
        <w:t xml:space="preserve">  录</w:t>
      </w:r>
    </w:p>
    <w:p/>
    <w:p>
      <w:pPr>
        <w:pStyle w:val="11"/>
        <w:tabs>
          <w:tab w:val="right" w:leader="dot" w:pos="8840"/>
          <w:tab w:val="clear" w:pos="9628"/>
        </w:tabs>
        <w:spacing w:line="480" w:lineRule="auto"/>
        <w:rPr>
          <w:b/>
          <w:bCs/>
        </w:rPr>
      </w:pPr>
      <w:r>
        <w:rPr>
          <w:b/>
          <w:bCs/>
        </w:rPr>
        <w:fldChar w:fldCharType="begin"/>
      </w:r>
      <w:r>
        <w:rPr>
          <w:b/>
          <w:bCs/>
        </w:rPr>
        <w:instrText xml:space="preserve"> TOC \o "1-3" \h \z \u </w:instrText>
      </w:r>
      <w:r>
        <w:rPr>
          <w:b/>
          <w:bCs/>
        </w:rPr>
        <w:fldChar w:fldCharType="separate"/>
      </w:r>
      <w:r>
        <w:rPr>
          <w:b/>
          <w:bCs/>
        </w:rPr>
        <w:fldChar w:fldCharType="begin"/>
      </w:r>
      <w:r>
        <w:rPr>
          <w:rStyle w:val="19"/>
          <w:b/>
          <w:bCs/>
        </w:rPr>
        <w:instrText xml:space="preserve"> </w:instrText>
      </w:r>
      <w:r>
        <w:rPr>
          <w:b/>
          <w:bCs/>
        </w:rPr>
        <w:instrText xml:space="preserve">HYPERLINK \l "_Toc50581783"</w:instrText>
      </w:r>
      <w:r>
        <w:rPr>
          <w:rStyle w:val="19"/>
          <w:b/>
          <w:bCs/>
        </w:rPr>
        <w:instrText xml:space="preserve"> </w:instrText>
      </w:r>
      <w:r>
        <w:rPr>
          <w:b/>
          <w:bCs/>
        </w:rPr>
        <w:fldChar w:fldCharType="separate"/>
      </w:r>
      <w:r>
        <w:rPr>
          <w:rStyle w:val="19"/>
          <w:b/>
          <w:bCs/>
        </w:rPr>
        <w:t>一、专业名称及代码</w:t>
      </w:r>
      <w:r>
        <w:rPr>
          <w:b/>
          <w:bCs/>
        </w:rPr>
        <w:tab/>
      </w:r>
      <w:r>
        <w:rPr>
          <w:rFonts w:hint="eastAsia"/>
          <w:b/>
          <w:bCs/>
          <w:lang w:val="en-US" w:eastAsia="zh-CN"/>
        </w:rPr>
        <w:t>3</w:t>
      </w:r>
      <w:r>
        <w:rPr>
          <w:b/>
          <w:bCs/>
        </w:rPr>
        <w:fldChar w:fldCharType="end"/>
      </w:r>
    </w:p>
    <w:p>
      <w:pPr>
        <w:pStyle w:val="11"/>
        <w:tabs>
          <w:tab w:val="right" w:leader="dot" w:pos="8840"/>
          <w:tab w:val="clear" w:pos="9628"/>
        </w:tabs>
        <w:spacing w:line="480" w:lineRule="auto"/>
        <w:rPr>
          <w:b/>
          <w:bCs/>
        </w:rPr>
      </w:pPr>
      <w:r>
        <w:rPr>
          <w:b/>
          <w:bCs/>
        </w:rPr>
        <w:fldChar w:fldCharType="begin"/>
      </w:r>
      <w:r>
        <w:rPr>
          <w:rStyle w:val="19"/>
          <w:b/>
          <w:bCs/>
        </w:rPr>
        <w:instrText xml:space="preserve"> </w:instrText>
      </w:r>
      <w:r>
        <w:rPr>
          <w:b/>
          <w:bCs/>
        </w:rPr>
        <w:instrText xml:space="preserve">HYPERLINK \l "_Toc50581784"</w:instrText>
      </w:r>
      <w:r>
        <w:rPr>
          <w:rStyle w:val="19"/>
          <w:b/>
          <w:bCs/>
        </w:rPr>
        <w:instrText xml:space="preserve"> </w:instrText>
      </w:r>
      <w:r>
        <w:rPr>
          <w:b/>
          <w:bCs/>
        </w:rPr>
        <w:fldChar w:fldCharType="separate"/>
      </w:r>
      <w:r>
        <w:rPr>
          <w:rStyle w:val="19"/>
          <w:b/>
          <w:bCs/>
        </w:rPr>
        <w:t>二、入学要求</w:t>
      </w:r>
      <w:r>
        <w:rPr>
          <w:b/>
          <w:bCs/>
        </w:rPr>
        <w:tab/>
      </w:r>
      <w:r>
        <w:rPr>
          <w:rFonts w:hint="eastAsia"/>
          <w:b/>
          <w:bCs/>
          <w:lang w:val="en-US" w:eastAsia="zh-CN"/>
        </w:rPr>
        <w:t>3</w:t>
      </w:r>
      <w:r>
        <w:rPr>
          <w:b/>
          <w:bCs/>
        </w:rPr>
        <w:fldChar w:fldCharType="end"/>
      </w:r>
    </w:p>
    <w:p>
      <w:pPr>
        <w:pStyle w:val="11"/>
        <w:tabs>
          <w:tab w:val="right" w:leader="dot" w:pos="8840"/>
          <w:tab w:val="clear" w:pos="9628"/>
        </w:tabs>
        <w:spacing w:line="480" w:lineRule="auto"/>
        <w:rPr>
          <w:b/>
          <w:bCs/>
        </w:rPr>
      </w:pPr>
      <w:r>
        <w:rPr>
          <w:b/>
          <w:bCs/>
        </w:rPr>
        <w:fldChar w:fldCharType="begin"/>
      </w:r>
      <w:r>
        <w:rPr>
          <w:rStyle w:val="19"/>
          <w:b/>
          <w:bCs/>
        </w:rPr>
        <w:instrText xml:space="preserve"> </w:instrText>
      </w:r>
      <w:r>
        <w:rPr>
          <w:b/>
          <w:bCs/>
        </w:rPr>
        <w:instrText xml:space="preserve">HYPERLINK \l "_Toc50581785"</w:instrText>
      </w:r>
      <w:r>
        <w:rPr>
          <w:rStyle w:val="19"/>
          <w:b/>
          <w:bCs/>
        </w:rPr>
        <w:instrText xml:space="preserve"> </w:instrText>
      </w:r>
      <w:r>
        <w:rPr>
          <w:b/>
          <w:bCs/>
        </w:rPr>
        <w:fldChar w:fldCharType="separate"/>
      </w:r>
      <w:r>
        <w:rPr>
          <w:rStyle w:val="19"/>
          <w:b/>
          <w:bCs/>
        </w:rPr>
        <w:t>三、修业年限</w:t>
      </w:r>
      <w:r>
        <w:rPr>
          <w:b/>
          <w:bCs/>
        </w:rPr>
        <w:tab/>
      </w:r>
      <w:r>
        <w:rPr>
          <w:rFonts w:hint="eastAsia"/>
          <w:b/>
          <w:bCs/>
          <w:lang w:val="en-US" w:eastAsia="zh-CN"/>
        </w:rPr>
        <w:t>3</w:t>
      </w:r>
      <w:r>
        <w:rPr>
          <w:b/>
          <w:bCs/>
        </w:rPr>
        <w:fldChar w:fldCharType="end"/>
      </w:r>
    </w:p>
    <w:p>
      <w:pPr>
        <w:pStyle w:val="11"/>
        <w:tabs>
          <w:tab w:val="right" w:leader="dot" w:pos="8840"/>
          <w:tab w:val="clear" w:pos="9628"/>
        </w:tabs>
        <w:spacing w:line="480" w:lineRule="auto"/>
        <w:rPr>
          <w:b/>
          <w:bCs/>
        </w:rPr>
      </w:pPr>
      <w:r>
        <w:rPr>
          <w:b/>
          <w:bCs/>
        </w:rPr>
        <w:fldChar w:fldCharType="begin"/>
      </w:r>
      <w:r>
        <w:rPr>
          <w:rStyle w:val="19"/>
          <w:b/>
          <w:bCs/>
        </w:rPr>
        <w:instrText xml:space="preserve"> </w:instrText>
      </w:r>
      <w:r>
        <w:rPr>
          <w:b/>
          <w:bCs/>
        </w:rPr>
        <w:instrText xml:space="preserve">HYPERLINK \l "_Toc50581786"</w:instrText>
      </w:r>
      <w:r>
        <w:rPr>
          <w:rStyle w:val="19"/>
          <w:b/>
          <w:bCs/>
        </w:rPr>
        <w:instrText xml:space="preserve"> </w:instrText>
      </w:r>
      <w:r>
        <w:rPr>
          <w:b/>
          <w:bCs/>
        </w:rPr>
        <w:fldChar w:fldCharType="separate"/>
      </w:r>
      <w:r>
        <w:rPr>
          <w:rStyle w:val="19"/>
          <w:b/>
          <w:bCs/>
        </w:rPr>
        <w:t>四、</w:t>
      </w:r>
      <w:r>
        <w:rPr>
          <w:rStyle w:val="19"/>
          <w:rFonts w:hint="eastAsia"/>
          <w:b/>
          <w:bCs/>
          <w:lang w:eastAsia="zh-CN"/>
        </w:rPr>
        <w:t>职业</w:t>
      </w:r>
      <w:r>
        <w:rPr>
          <w:rStyle w:val="19"/>
          <w:b/>
          <w:bCs/>
        </w:rPr>
        <w:t>面向</w:t>
      </w:r>
      <w:r>
        <w:rPr>
          <w:b/>
          <w:bCs/>
        </w:rPr>
        <w:tab/>
      </w:r>
      <w:r>
        <w:rPr>
          <w:rFonts w:hint="eastAsia"/>
          <w:b/>
          <w:bCs/>
          <w:lang w:val="en-US" w:eastAsia="zh-CN"/>
        </w:rPr>
        <w:t>3</w:t>
      </w:r>
      <w:r>
        <w:rPr>
          <w:b/>
          <w:bCs/>
        </w:rPr>
        <w:fldChar w:fldCharType="end"/>
      </w:r>
    </w:p>
    <w:p>
      <w:pPr>
        <w:pStyle w:val="11"/>
        <w:tabs>
          <w:tab w:val="right" w:leader="dot" w:pos="8840"/>
          <w:tab w:val="clear" w:pos="9628"/>
        </w:tabs>
        <w:spacing w:line="480" w:lineRule="auto"/>
        <w:rPr>
          <w:rFonts w:hint="eastAsia"/>
          <w:b/>
          <w:bCs/>
        </w:rPr>
      </w:pPr>
      <w:r>
        <w:rPr>
          <w:b/>
          <w:bCs/>
        </w:rPr>
        <w:fldChar w:fldCharType="begin"/>
      </w:r>
      <w:r>
        <w:rPr>
          <w:rStyle w:val="19"/>
          <w:b/>
          <w:bCs/>
        </w:rPr>
        <w:instrText xml:space="preserve"> </w:instrText>
      </w:r>
      <w:r>
        <w:rPr>
          <w:b/>
          <w:bCs/>
        </w:rPr>
        <w:instrText xml:space="preserve">HYPERLINK \l "_Toc50581787"</w:instrText>
      </w:r>
      <w:r>
        <w:rPr>
          <w:rStyle w:val="19"/>
          <w:b/>
          <w:bCs/>
        </w:rPr>
        <w:instrText xml:space="preserve"> </w:instrText>
      </w:r>
      <w:r>
        <w:rPr>
          <w:b/>
          <w:bCs/>
        </w:rPr>
        <w:fldChar w:fldCharType="separate"/>
      </w:r>
      <w:r>
        <w:rPr>
          <w:rStyle w:val="19"/>
          <w:b/>
          <w:bCs/>
        </w:rPr>
        <w:t>五、培养目标与培养规格</w:t>
      </w:r>
      <w:r>
        <w:rPr>
          <w:b/>
          <w:bCs/>
        </w:rPr>
        <w:tab/>
      </w:r>
      <w:r>
        <w:rPr>
          <w:rFonts w:hint="eastAsia"/>
          <w:b/>
          <w:bCs/>
          <w:lang w:val="en-US" w:eastAsia="zh-CN"/>
        </w:rPr>
        <w:t>4</w:t>
      </w:r>
      <w:r>
        <w:rPr>
          <w:b/>
          <w:bCs/>
        </w:rPr>
        <w:fldChar w:fldCharType="end"/>
      </w:r>
    </w:p>
    <w:p>
      <w:pPr>
        <w:pStyle w:val="11"/>
        <w:tabs>
          <w:tab w:val="right" w:leader="dot" w:pos="8840"/>
          <w:tab w:val="clear" w:pos="9628"/>
        </w:tabs>
        <w:spacing w:line="480" w:lineRule="auto"/>
        <w:rPr>
          <w:b/>
          <w:bCs/>
        </w:rPr>
      </w:pPr>
      <w:r>
        <w:rPr>
          <w:b/>
          <w:bCs/>
        </w:rPr>
        <w:fldChar w:fldCharType="begin"/>
      </w:r>
      <w:r>
        <w:rPr>
          <w:rStyle w:val="19"/>
          <w:b/>
          <w:bCs/>
        </w:rPr>
        <w:instrText xml:space="preserve"> </w:instrText>
      </w:r>
      <w:r>
        <w:rPr>
          <w:b/>
          <w:bCs/>
        </w:rPr>
        <w:instrText xml:space="preserve">HYPERLINK \l "_Toc50581816"</w:instrText>
      </w:r>
      <w:r>
        <w:rPr>
          <w:rStyle w:val="19"/>
          <w:b/>
          <w:bCs/>
        </w:rPr>
        <w:instrText xml:space="preserve"> </w:instrText>
      </w:r>
      <w:r>
        <w:rPr>
          <w:b/>
          <w:bCs/>
        </w:rPr>
        <w:fldChar w:fldCharType="separate"/>
      </w:r>
      <w:r>
        <w:rPr>
          <w:rStyle w:val="19"/>
          <w:b/>
          <w:bCs/>
        </w:rPr>
        <w:t>六、课程设置及要求</w:t>
      </w:r>
      <w:r>
        <w:rPr>
          <w:b/>
          <w:bCs/>
        </w:rPr>
        <w:tab/>
      </w:r>
      <w:r>
        <w:rPr>
          <w:rFonts w:hint="eastAsia"/>
          <w:b/>
          <w:bCs/>
          <w:lang w:val="en-US" w:eastAsia="zh-CN"/>
        </w:rPr>
        <w:t>7</w:t>
      </w:r>
      <w:r>
        <w:rPr>
          <w:b/>
          <w:bCs/>
        </w:rPr>
        <w:fldChar w:fldCharType="end"/>
      </w:r>
    </w:p>
    <w:p>
      <w:pPr>
        <w:pStyle w:val="11"/>
        <w:tabs>
          <w:tab w:val="right" w:leader="dot" w:pos="8840"/>
          <w:tab w:val="clear" w:pos="9628"/>
        </w:tabs>
        <w:spacing w:line="480" w:lineRule="auto"/>
        <w:rPr>
          <w:rFonts w:hint="eastAsia" w:eastAsia="宋体"/>
          <w:b/>
          <w:bCs/>
          <w:lang w:val="en-US" w:eastAsia="zh-CN"/>
        </w:rPr>
      </w:pPr>
      <w:r>
        <w:rPr>
          <w:b/>
          <w:bCs/>
        </w:rPr>
        <w:fldChar w:fldCharType="begin"/>
      </w:r>
      <w:r>
        <w:rPr>
          <w:rStyle w:val="19"/>
          <w:b/>
          <w:bCs/>
        </w:rPr>
        <w:instrText xml:space="preserve"> </w:instrText>
      </w:r>
      <w:r>
        <w:rPr>
          <w:b/>
          <w:bCs/>
        </w:rPr>
        <w:instrText xml:space="preserve">HYPERLINK \l "_Toc50581817"</w:instrText>
      </w:r>
      <w:r>
        <w:rPr>
          <w:rStyle w:val="19"/>
          <w:b/>
          <w:bCs/>
        </w:rPr>
        <w:instrText xml:space="preserve"> </w:instrText>
      </w:r>
      <w:r>
        <w:rPr>
          <w:b/>
          <w:bCs/>
        </w:rPr>
        <w:fldChar w:fldCharType="separate"/>
      </w:r>
      <w:r>
        <w:rPr>
          <w:rStyle w:val="19"/>
          <w:b/>
          <w:bCs/>
        </w:rPr>
        <w:t>七、教学进程总体安排</w:t>
      </w:r>
      <w:r>
        <w:rPr>
          <w:b/>
          <w:bCs/>
        </w:rPr>
        <w:tab/>
      </w:r>
      <w:r>
        <w:rPr>
          <w:rFonts w:hint="eastAsia"/>
          <w:b/>
          <w:bCs/>
          <w:lang w:val="en-US" w:eastAsia="zh-CN"/>
        </w:rPr>
        <w:t>2</w:t>
      </w:r>
      <w:r>
        <w:rPr>
          <w:b/>
          <w:bCs/>
        </w:rPr>
        <w:fldChar w:fldCharType="end"/>
      </w:r>
      <w:r>
        <w:rPr>
          <w:rFonts w:hint="eastAsia"/>
          <w:b/>
          <w:bCs/>
          <w:lang w:val="en-US" w:eastAsia="zh-CN"/>
        </w:rPr>
        <w:t>4</w:t>
      </w:r>
    </w:p>
    <w:p>
      <w:pPr>
        <w:pStyle w:val="11"/>
        <w:tabs>
          <w:tab w:val="right" w:leader="dot" w:pos="8840"/>
          <w:tab w:val="clear" w:pos="9628"/>
        </w:tabs>
        <w:spacing w:line="480" w:lineRule="auto"/>
        <w:rPr>
          <w:rFonts w:hint="eastAsia" w:eastAsia="宋体"/>
          <w:b/>
          <w:bCs/>
          <w:lang w:val="en-US" w:eastAsia="zh-CN"/>
        </w:rPr>
      </w:pPr>
      <w:r>
        <w:rPr>
          <w:b/>
          <w:bCs/>
        </w:rPr>
        <w:fldChar w:fldCharType="begin"/>
      </w:r>
      <w:r>
        <w:rPr>
          <w:rStyle w:val="19"/>
          <w:b/>
          <w:bCs/>
        </w:rPr>
        <w:instrText xml:space="preserve"> </w:instrText>
      </w:r>
      <w:r>
        <w:rPr>
          <w:b/>
          <w:bCs/>
        </w:rPr>
        <w:instrText xml:space="preserve">HYPERLINK \l "_Toc50581818"</w:instrText>
      </w:r>
      <w:r>
        <w:rPr>
          <w:rStyle w:val="19"/>
          <w:b/>
          <w:bCs/>
        </w:rPr>
        <w:instrText xml:space="preserve"> </w:instrText>
      </w:r>
      <w:r>
        <w:rPr>
          <w:b/>
          <w:bCs/>
        </w:rPr>
        <w:fldChar w:fldCharType="separate"/>
      </w:r>
      <w:r>
        <w:rPr>
          <w:rStyle w:val="19"/>
          <w:b/>
          <w:bCs/>
        </w:rPr>
        <w:t>八、实施保障</w:t>
      </w:r>
      <w:r>
        <w:rPr>
          <w:b/>
          <w:bCs/>
        </w:rPr>
        <w:tab/>
      </w:r>
      <w:r>
        <w:rPr>
          <w:rFonts w:hint="eastAsia"/>
          <w:b/>
          <w:bCs/>
          <w:lang w:val="en-US" w:eastAsia="zh-CN"/>
        </w:rPr>
        <w:t>2</w:t>
      </w:r>
      <w:r>
        <w:rPr>
          <w:b/>
          <w:bCs/>
        </w:rPr>
        <w:fldChar w:fldCharType="end"/>
      </w:r>
      <w:r>
        <w:rPr>
          <w:rFonts w:hint="eastAsia"/>
          <w:b/>
          <w:bCs/>
          <w:lang w:val="en-US" w:eastAsia="zh-CN"/>
        </w:rPr>
        <w:t>6</w:t>
      </w:r>
    </w:p>
    <w:p>
      <w:pPr>
        <w:pStyle w:val="11"/>
        <w:tabs>
          <w:tab w:val="right" w:leader="dot" w:pos="8840"/>
          <w:tab w:val="clear" w:pos="9628"/>
        </w:tabs>
        <w:spacing w:line="480" w:lineRule="auto"/>
        <w:rPr>
          <w:rFonts w:hint="eastAsia" w:eastAsia="宋体"/>
          <w:b/>
          <w:bCs/>
          <w:lang w:val="en-US" w:eastAsia="zh-CN"/>
        </w:rPr>
      </w:pPr>
      <w:r>
        <w:rPr>
          <w:b/>
          <w:bCs/>
        </w:rPr>
        <w:fldChar w:fldCharType="begin"/>
      </w:r>
      <w:r>
        <w:rPr>
          <w:rStyle w:val="19"/>
          <w:b/>
          <w:bCs/>
        </w:rPr>
        <w:instrText xml:space="preserve"> </w:instrText>
      </w:r>
      <w:r>
        <w:rPr>
          <w:b/>
          <w:bCs/>
        </w:rPr>
        <w:instrText xml:space="preserve">HYPERLINK \l "_Toc50581819"</w:instrText>
      </w:r>
      <w:r>
        <w:rPr>
          <w:rStyle w:val="19"/>
          <w:b/>
          <w:bCs/>
        </w:rPr>
        <w:instrText xml:space="preserve"> </w:instrText>
      </w:r>
      <w:r>
        <w:rPr>
          <w:b/>
          <w:bCs/>
        </w:rPr>
        <w:fldChar w:fldCharType="separate"/>
      </w:r>
      <w:r>
        <w:rPr>
          <w:rStyle w:val="19"/>
          <w:b/>
          <w:bCs/>
        </w:rPr>
        <w:t>九、毕业要求</w:t>
      </w:r>
      <w:r>
        <w:rPr>
          <w:b/>
          <w:bCs/>
        </w:rPr>
        <w:tab/>
      </w:r>
      <w:r>
        <w:rPr>
          <w:rFonts w:hint="eastAsia"/>
          <w:b/>
          <w:bCs/>
          <w:lang w:val="en-US" w:eastAsia="zh-CN"/>
        </w:rPr>
        <w:t>3</w:t>
      </w:r>
      <w:r>
        <w:rPr>
          <w:b/>
          <w:bCs/>
        </w:rPr>
        <w:fldChar w:fldCharType="end"/>
      </w:r>
      <w:r>
        <w:rPr>
          <w:rFonts w:hint="eastAsia"/>
          <w:b/>
          <w:bCs/>
          <w:lang w:val="en-US" w:eastAsia="zh-CN"/>
        </w:rPr>
        <w:t>1</w:t>
      </w:r>
    </w:p>
    <w:p>
      <w:pPr>
        <w:jc w:val="center"/>
        <w:outlineLvl w:val="0"/>
        <w:rPr>
          <w:b/>
          <w:bCs/>
          <w:lang w:val="zh-CN"/>
        </w:rPr>
      </w:pPr>
      <w:r>
        <w:rPr>
          <w:b/>
          <w:bCs/>
          <w:lang w:val="zh-CN"/>
        </w:rPr>
        <w:fldChar w:fldCharType="end"/>
      </w:r>
    </w:p>
    <w:p>
      <w:pPr>
        <w:jc w:val="center"/>
        <w:outlineLvl w:val="0"/>
        <w:rPr>
          <w:b/>
          <w:bCs/>
          <w:lang w:val="zh-CN"/>
        </w:rPr>
      </w:pPr>
    </w:p>
    <w:p>
      <w:pPr>
        <w:jc w:val="center"/>
        <w:outlineLvl w:val="0"/>
        <w:rPr>
          <w:b/>
          <w:bCs/>
          <w:lang w:val="zh-CN"/>
        </w:rPr>
      </w:pPr>
    </w:p>
    <w:p>
      <w:pPr>
        <w:jc w:val="center"/>
        <w:outlineLvl w:val="0"/>
        <w:rPr>
          <w:b/>
          <w:bCs/>
          <w:lang w:val="zh-CN"/>
        </w:rPr>
      </w:pPr>
    </w:p>
    <w:p>
      <w:pPr>
        <w:jc w:val="center"/>
        <w:outlineLvl w:val="0"/>
      </w:pPr>
      <w:r>
        <w:br w:type="page"/>
      </w:r>
      <w:bookmarkStart w:id="6" w:name="_Toc6319"/>
      <w:r>
        <w:rPr>
          <w:rFonts w:hint="eastAsia" w:ascii="宋体" w:hAnsi="宋体" w:cs="宋体"/>
          <w:b/>
          <w:sz w:val="30"/>
          <w:szCs w:val="30"/>
        </w:rPr>
        <w:t>广东茂名健康职业学院基层卫生人才学历提升</w:t>
      </w:r>
      <w:r>
        <w:rPr>
          <w:rFonts w:hint="eastAsia" w:ascii="宋体" w:hAnsi="宋体" w:cs="宋体"/>
          <w:b/>
          <w:sz w:val="30"/>
          <w:szCs w:val="30"/>
          <w:lang w:eastAsia="zh-CN"/>
        </w:rPr>
        <w:t>秋</w:t>
      </w:r>
      <w:r>
        <w:rPr>
          <w:rFonts w:hint="eastAsia" w:ascii="宋体" w:hAnsi="宋体" w:cs="宋体"/>
          <w:b/>
          <w:sz w:val="30"/>
          <w:szCs w:val="30"/>
        </w:rPr>
        <w:t>季入学</w:t>
      </w:r>
      <w:r>
        <w:rPr>
          <w:rFonts w:hint="eastAsia" w:ascii="宋体" w:hAnsi="宋体" w:cs="宋体"/>
          <w:b/>
          <w:sz w:val="30"/>
          <w:szCs w:val="30"/>
          <w:lang w:eastAsia="zh-CN"/>
        </w:rPr>
        <w:t>专班【临床医学】</w:t>
      </w:r>
      <w:r>
        <w:rPr>
          <w:rFonts w:hint="eastAsia" w:ascii="宋体" w:hAnsi="宋体" w:cs="宋体"/>
          <w:b/>
          <w:sz w:val="30"/>
          <w:szCs w:val="30"/>
        </w:rPr>
        <w:t>人才培养方案</w:t>
      </w:r>
      <w:bookmarkEnd w:id="6"/>
    </w:p>
    <w:p>
      <w:pPr>
        <w:spacing w:line="360" w:lineRule="auto"/>
        <w:rPr>
          <w:rFonts w:ascii="宋体" w:hAnsi="宋体"/>
          <w:sz w:val="24"/>
          <w:szCs w:val="24"/>
        </w:rPr>
      </w:pPr>
      <w:r>
        <w:rPr>
          <w:rFonts w:hint="eastAsia" w:ascii="宋体" w:hAnsi="宋体"/>
          <w:sz w:val="24"/>
          <w:szCs w:val="24"/>
        </w:rPr>
        <w:t xml:space="preserve"> </w:t>
      </w:r>
    </w:p>
    <w:p>
      <w:pPr>
        <w:widowControl w:val="0"/>
        <w:spacing w:line="360" w:lineRule="auto"/>
        <w:ind w:firstLine="482" w:firstLineChars="200"/>
        <w:jc w:val="both"/>
        <w:outlineLvl w:val="0"/>
        <w:rPr>
          <w:rFonts w:hint="eastAsia" w:ascii="宋体" w:hAnsi="宋体" w:eastAsia="宋体" w:cs="华文仿宋"/>
          <w:b/>
          <w:kern w:val="2"/>
          <w:sz w:val="24"/>
          <w:szCs w:val="24"/>
          <w:lang w:val="en-US" w:eastAsia="zh-CN" w:bidi="ar-SA"/>
        </w:rPr>
      </w:pPr>
      <w:r>
        <w:rPr>
          <w:rFonts w:hint="eastAsia" w:ascii="宋体" w:hAnsi="宋体" w:eastAsia="宋体" w:cs="华文仿宋"/>
          <w:b/>
          <w:kern w:val="2"/>
          <w:sz w:val="24"/>
          <w:szCs w:val="24"/>
          <w:lang w:val="en-US" w:eastAsia="zh-CN" w:bidi="ar-SA"/>
        </w:rPr>
        <w:t xml:space="preserve">一、专业名称及代码 </w:t>
      </w:r>
    </w:p>
    <w:p>
      <w:pPr>
        <w:spacing w:line="360" w:lineRule="auto"/>
        <w:ind w:firstLine="480" w:firstLineChars="200"/>
        <w:rPr>
          <w:rFonts w:hint="eastAsia" w:ascii="宋体" w:hAnsi="宋体" w:cs="华文仿宋"/>
          <w:color w:val="000000"/>
          <w:sz w:val="24"/>
          <w:szCs w:val="24"/>
        </w:rPr>
      </w:pPr>
      <w:r>
        <w:rPr>
          <w:rFonts w:hint="eastAsia" w:ascii="宋体" w:hAnsi="宋体" w:cs="华文仿宋"/>
          <w:sz w:val="24"/>
          <w:szCs w:val="24"/>
        </w:rPr>
        <w:t>专业名称：</w:t>
      </w:r>
      <w:r>
        <w:rPr>
          <w:rFonts w:hint="eastAsia" w:ascii="宋体" w:hAnsi="宋体" w:cs="宋体"/>
          <w:sz w:val="24"/>
          <w:szCs w:val="24"/>
        </w:rPr>
        <w:t>临床医学</w:t>
      </w:r>
    </w:p>
    <w:p>
      <w:pPr>
        <w:spacing w:line="360" w:lineRule="auto"/>
        <w:ind w:firstLine="480" w:firstLineChars="200"/>
        <w:rPr>
          <w:rFonts w:hint="eastAsia" w:ascii="宋体" w:hAnsi="宋体" w:cs="华文仿宋"/>
          <w:sz w:val="24"/>
          <w:szCs w:val="24"/>
        </w:rPr>
      </w:pPr>
      <w:r>
        <w:rPr>
          <w:rFonts w:hint="eastAsia" w:ascii="宋体" w:hAnsi="宋体" w:cs="宋体"/>
          <w:sz w:val="24"/>
          <w:szCs w:val="24"/>
        </w:rPr>
        <w:t>专业代码：620101K</w:t>
      </w:r>
    </w:p>
    <w:p>
      <w:pPr>
        <w:widowControl w:val="0"/>
        <w:spacing w:line="360" w:lineRule="auto"/>
        <w:ind w:firstLine="482" w:firstLineChars="200"/>
        <w:jc w:val="both"/>
        <w:outlineLvl w:val="0"/>
        <w:rPr>
          <w:rFonts w:hint="eastAsia" w:ascii="宋体" w:hAnsi="宋体" w:eastAsia="宋体" w:cs="华文仿宋"/>
          <w:b/>
          <w:kern w:val="2"/>
          <w:sz w:val="24"/>
          <w:szCs w:val="24"/>
          <w:lang w:val="en-US" w:eastAsia="zh-CN" w:bidi="ar-SA"/>
        </w:rPr>
      </w:pPr>
      <w:bookmarkStart w:id="7" w:name="_Toc50581784"/>
      <w:r>
        <w:rPr>
          <w:rFonts w:hint="eastAsia" w:ascii="宋体" w:hAnsi="宋体" w:eastAsia="宋体" w:cs="华文仿宋"/>
          <w:b/>
          <w:kern w:val="2"/>
          <w:sz w:val="24"/>
          <w:szCs w:val="24"/>
          <w:lang w:val="en-US" w:eastAsia="zh-CN" w:bidi="ar-SA"/>
        </w:rPr>
        <w:t>二、入学要求</w:t>
      </w:r>
      <w:bookmarkEnd w:id="7"/>
      <w:r>
        <w:rPr>
          <w:rFonts w:hint="eastAsia" w:ascii="宋体" w:hAnsi="宋体" w:eastAsia="宋体" w:cs="华文仿宋"/>
          <w:b/>
          <w:kern w:val="2"/>
          <w:sz w:val="24"/>
          <w:szCs w:val="24"/>
          <w:lang w:val="en-US" w:eastAsia="zh-CN" w:bidi="ar-SA"/>
        </w:rPr>
        <w:t xml:space="preserve">  </w:t>
      </w:r>
    </w:p>
    <w:p>
      <w:pPr>
        <w:spacing w:line="360" w:lineRule="auto"/>
        <w:ind w:firstLine="480" w:firstLineChars="200"/>
        <w:rPr>
          <w:rFonts w:ascii="宋体" w:hAnsi="宋体" w:cs="宋体"/>
          <w:b/>
          <w:bCs/>
          <w:color w:val="000000"/>
          <w:sz w:val="28"/>
          <w:szCs w:val="28"/>
        </w:rPr>
      </w:pPr>
      <w:r>
        <w:rPr>
          <w:rFonts w:hint="eastAsia" w:ascii="宋体" w:hAnsi="宋体" w:cs="宋体"/>
          <w:bCs/>
          <w:color w:val="000000"/>
          <w:sz w:val="24"/>
          <w:szCs w:val="21"/>
        </w:rPr>
        <w:t>广东省基层医疗卫生机构在职员工，或累计具有我省1年（含）以上社保(社保统计至2020年8月31日)并与我省企业签订了劳动合同的外省户籍在职员工。</w:t>
      </w:r>
    </w:p>
    <w:p>
      <w:pPr>
        <w:numPr>
          <w:ilvl w:val="0"/>
          <w:numId w:val="1"/>
        </w:numPr>
        <w:tabs>
          <w:tab w:val="right" w:pos="9638"/>
        </w:tabs>
        <w:spacing w:line="360" w:lineRule="auto"/>
        <w:ind w:firstLine="482" w:firstLineChars="200"/>
        <w:rPr>
          <w:rFonts w:hint="eastAsia" w:ascii="宋体" w:hAnsi="宋体" w:cs="宋体"/>
          <w:b/>
          <w:bCs/>
          <w:color w:val="000000"/>
          <w:sz w:val="24"/>
          <w:szCs w:val="21"/>
        </w:rPr>
      </w:pPr>
      <w:r>
        <w:rPr>
          <w:rFonts w:hint="eastAsia" w:ascii="宋体" w:hAnsi="宋体" w:cs="宋体"/>
          <w:b/>
          <w:bCs/>
          <w:color w:val="000000"/>
          <w:sz w:val="24"/>
          <w:szCs w:val="21"/>
        </w:rPr>
        <w:t>修业年限</w:t>
      </w:r>
    </w:p>
    <w:p>
      <w:pPr>
        <w:spacing w:line="360" w:lineRule="auto"/>
        <w:ind w:firstLine="480" w:firstLineChars="200"/>
        <w:rPr>
          <w:rFonts w:ascii="宋体" w:hAnsi="宋体" w:cs="宋体"/>
          <w:b/>
          <w:bCs/>
          <w:color w:val="000000"/>
          <w:sz w:val="24"/>
          <w:szCs w:val="21"/>
        </w:rPr>
      </w:pPr>
      <w:bookmarkStart w:id="8" w:name="_Hlk50578823"/>
      <w:r>
        <w:rPr>
          <w:rFonts w:hint="eastAsia" w:ascii="宋体" w:hAnsi="宋体" w:cs="华文仿宋"/>
          <w:sz w:val="24"/>
        </w:rPr>
        <w:t>修业年限为三年。</w:t>
      </w:r>
      <w:bookmarkEnd w:id="8"/>
      <w:r>
        <w:rPr>
          <w:rFonts w:ascii="宋体" w:hAnsi="宋体" w:cs="宋体"/>
          <w:sz w:val="24"/>
          <w:szCs w:val="24"/>
        </w:rPr>
        <w:tab/>
      </w:r>
    </w:p>
    <w:p>
      <w:pPr>
        <w:numPr>
          <w:ilvl w:val="0"/>
          <w:numId w:val="1"/>
        </w:numPr>
        <w:spacing w:line="360" w:lineRule="auto"/>
        <w:ind w:left="0" w:leftChars="0" w:firstLine="482" w:firstLineChars="200"/>
        <w:rPr>
          <w:rFonts w:hint="eastAsia" w:ascii="宋体" w:hAnsi="宋体" w:cs="宋体"/>
          <w:b/>
          <w:bCs/>
          <w:color w:val="000000"/>
          <w:sz w:val="24"/>
          <w:szCs w:val="21"/>
        </w:rPr>
      </w:pPr>
      <w:r>
        <w:rPr>
          <w:rFonts w:hint="eastAsia" w:ascii="宋体" w:hAnsi="宋体" w:cs="宋体"/>
          <w:b/>
          <w:bCs/>
          <w:color w:val="000000"/>
          <w:sz w:val="24"/>
          <w:szCs w:val="21"/>
        </w:rPr>
        <w:t>职业面向</w:t>
      </w:r>
    </w:p>
    <w:p>
      <w:pPr>
        <w:numPr>
          <w:ilvl w:val="0"/>
          <w:numId w:val="0"/>
        </w:numPr>
        <w:spacing w:line="360" w:lineRule="auto"/>
        <w:ind w:leftChars="200"/>
        <w:rPr>
          <w:rFonts w:ascii="宋体" w:hAnsi="宋体" w:cs="宋体"/>
          <w:b/>
          <w:bCs/>
          <w:color w:val="000000"/>
          <w:sz w:val="24"/>
          <w:szCs w:val="21"/>
        </w:rPr>
      </w:pPr>
      <w:r>
        <w:rPr>
          <w:rFonts w:hint="eastAsia" w:ascii="宋体" w:hAnsi="宋体" w:cs="宋体"/>
          <w:b/>
          <w:bCs/>
          <w:color w:val="000000"/>
          <w:sz w:val="24"/>
          <w:szCs w:val="21"/>
        </w:rPr>
        <w:t>（一）职业面向</w:t>
      </w:r>
    </w:p>
    <w:p>
      <w:pPr>
        <w:spacing w:line="360" w:lineRule="auto"/>
        <w:ind w:firstLine="480" w:firstLineChars="200"/>
        <w:rPr>
          <w:rFonts w:ascii="宋体" w:hAnsi="宋体"/>
          <w:sz w:val="24"/>
          <w:szCs w:val="24"/>
        </w:rPr>
      </w:pPr>
      <w:r>
        <w:rPr>
          <w:rFonts w:hint="eastAsia" w:ascii="宋体" w:hAnsi="宋体" w:cs="宋体"/>
          <w:color w:val="000000"/>
          <w:sz w:val="24"/>
          <w:szCs w:val="21"/>
        </w:rPr>
        <w:t>本专业职业面向详见表1。</w:t>
      </w:r>
    </w:p>
    <w:p>
      <w:pPr>
        <w:pStyle w:val="23"/>
        <w:rPr>
          <w:rFonts w:ascii="宋体" w:hAnsi="宋体" w:eastAsia="宋体" w:cs="宋体"/>
          <w:sz w:val="21"/>
          <w:szCs w:val="21"/>
          <w:lang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 xml:space="preserve">1  </w:t>
      </w:r>
      <w:r>
        <w:rPr>
          <w:rFonts w:hint="eastAsia" w:ascii="宋体" w:hAnsi="宋体" w:eastAsia="宋体" w:cs="宋体"/>
          <w:sz w:val="21"/>
          <w:szCs w:val="21"/>
          <w:lang w:eastAsia="zh-CN"/>
        </w:rPr>
        <w:t>临床医学</w:t>
      </w:r>
      <w:r>
        <w:rPr>
          <w:rFonts w:hint="eastAsia" w:ascii="宋体" w:hAnsi="宋体" w:eastAsia="宋体" w:cs="宋体"/>
          <w:sz w:val="21"/>
          <w:szCs w:val="21"/>
        </w:rPr>
        <w:t>专业职业面向</w:t>
      </w:r>
    </w:p>
    <w:tbl>
      <w:tblPr>
        <w:tblStyle w:val="14"/>
        <w:tblW w:w="9841"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 w:type="dxa"/>
          <w:bottom w:w="0" w:type="dxa"/>
          <w:right w:w="10" w:type="dxa"/>
        </w:tblCellMar>
      </w:tblPr>
      <w:tblGrid>
        <w:gridCol w:w="1378"/>
        <w:gridCol w:w="1272"/>
        <w:gridCol w:w="992"/>
        <w:gridCol w:w="2410"/>
        <w:gridCol w:w="1843"/>
        <w:gridCol w:w="194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1073" w:hRule="exact"/>
          <w:jc w:val="center"/>
        </w:trPr>
        <w:tc>
          <w:tcPr>
            <w:tcW w:w="1378" w:type="dxa"/>
            <w:shd w:val="clear" w:color="auto" w:fill="92D050"/>
            <w:vAlign w:val="center"/>
          </w:tcPr>
          <w:p>
            <w:pPr>
              <w:pStyle w:val="24"/>
              <w:spacing w:after="100" w:line="360" w:lineRule="auto"/>
              <w:ind w:firstLine="0"/>
              <w:jc w:val="center"/>
              <w:rPr>
                <w:rFonts w:ascii="宋体" w:hAnsi="宋体" w:eastAsia="宋体" w:cs="宋体"/>
                <w:bCs/>
                <w:sz w:val="21"/>
                <w:szCs w:val="21"/>
              </w:rPr>
            </w:pPr>
            <w:r>
              <w:rPr>
                <w:rFonts w:hint="eastAsia" w:ascii="宋体" w:hAnsi="宋体" w:eastAsia="宋体" w:cs="宋体"/>
                <w:bCs/>
                <w:sz w:val="21"/>
                <w:szCs w:val="21"/>
              </w:rPr>
              <w:t>所属专业大类</w:t>
            </w:r>
          </w:p>
          <w:p>
            <w:pPr>
              <w:pStyle w:val="24"/>
              <w:spacing w:line="360" w:lineRule="auto"/>
              <w:ind w:firstLine="0"/>
              <w:jc w:val="center"/>
              <w:rPr>
                <w:rFonts w:ascii="宋体" w:hAnsi="宋体" w:eastAsia="宋体" w:cs="宋体"/>
                <w:bCs/>
                <w:sz w:val="21"/>
                <w:szCs w:val="21"/>
                <w:lang w:eastAsia="zh-CN"/>
              </w:rPr>
            </w:pPr>
            <w:r>
              <w:rPr>
                <w:rFonts w:hint="eastAsia" w:ascii="宋体" w:hAnsi="宋体" w:eastAsia="宋体" w:cs="宋体"/>
                <w:bCs/>
                <w:sz w:val="21"/>
                <w:szCs w:val="21"/>
                <w:lang w:eastAsia="zh-CN"/>
              </w:rPr>
              <w:t>（</w:t>
            </w:r>
            <w:r>
              <w:rPr>
                <w:rFonts w:hint="eastAsia" w:ascii="宋体" w:hAnsi="宋体" w:eastAsia="宋体" w:cs="宋体"/>
                <w:bCs/>
                <w:sz w:val="21"/>
                <w:szCs w:val="21"/>
              </w:rPr>
              <w:t>代码</w:t>
            </w:r>
            <w:r>
              <w:rPr>
                <w:rFonts w:hint="eastAsia" w:ascii="宋体" w:hAnsi="宋体" w:eastAsia="宋体" w:cs="宋体"/>
                <w:bCs/>
                <w:sz w:val="21"/>
                <w:szCs w:val="21"/>
                <w:lang w:eastAsia="zh-CN"/>
              </w:rPr>
              <w:t>）</w:t>
            </w:r>
          </w:p>
        </w:tc>
        <w:tc>
          <w:tcPr>
            <w:tcW w:w="1272" w:type="dxa"/>
            <w:tcBorders>
              <w:left w:val="single" w:color="auto" w:sz="4" w:space="0"/>
            </w:tcBorders>
            <w:shd w:val="clear" w:color="auto" w:fill="92D050"/>
            <w:vAlign w:val="center"/>
          </w:tcPr>
          <w:p>
            <w:pPr>
              <w:pStyle w:val="24"/>
              <w:spacing w:after="100" w:line="360" w:lineRule="auto"/>
              <w:ind w:firstLine="0"/>
              <w:jc w:val="center"/>
              <w:rPr>
                <w:rFonts w:ascii="宋体" w:hAnsi="宋体" w:eastAsia="宋体" w:cs="宋体"/>
                <w:bCs/>
                <w:sz w:val="21"/>
                <w:szCs w:val="21"/>
              </w:rPr>
            </w:pPr>
            <w:r>
              <w:rPr>
                <w:rFonts w:hint="eastAsia" w:ascii="宋体" w:hAnsi="宋体" w:eastAsia="宋体" w:cs="宋体"/>
                <w:bCs/>
                <w:sz w:val="21"/>
                <w:szCs w:val="21"/>
              </w:rPr>
              <w:t>所属专业类</w:t>
            </w:r>
          </w:p>
          <w:p>
            <w:pPr>
              <w:pStyle w:val="24"/>
              <w:spacing w:line="360" w:lineRule="auto"/>
              <w:ind w:firstLine="0"/>
              <w:jc w:val="center"/>
              <w:rPr>
                <w:rFonts w:ascii="宋体" w:hAnsi="宋体" w:eastAsia="宋体" w:cs="宋体"/>
                <w:bCs/>
                <w:sz w:val="21"/>
                <w:szCs w:val="21"/>
                <w:lang w:eastAsia="zh-CN"/>
              </w:rPr>
            </w:pPr>
            <w:r>
              <w:rPr>
                <w:rFonts w:hint="eastAsia" w:ascii="宋体" w:hAnsi="宋体" w:eastAsia="宋体" w:cs="宋体"/>
                <w:bCs/>
                <w:sz w:val="21"/>
                <w:szCs w:val="21"/>
                <w:lang w:eastAsia="zh-CN"/>
              </w:rPr>
              <w:t>（</w:t>
            </w:r>
            <w:r>
              <w:rPr>
                <w:rFonts w:hint="eastAsia" w:ascii="宋体" w:hAnsi="宋体" w:eastAsia="宋体" w:cs="宋体"/>
                <w:bCs/>
                <w:sz w:val="21"/>
                <w:szCs w:val="21"/>
              </w:rPr>
              <w:t>代码</w:t>
            </w:r>
            <w:r>
              <w:rPr>
                <w:rFonts w:hint="eastAsia" w:ascii="宋体" w:hAnsi="宋体" w:eastAsia="宋体" w:cs="宋体"/>
                <w:bCs/>
                <w:sz w:val="21"/>
                <w:szCs w:val="21"/>
                <w:lang w:eastAsia="zh-CN"/>
              </w:rPr>
              <w:t>）</w:t>
            </w:r>
          </w:p>
        </w:tc>
        <w:tc>
          <w:tcPr>
            <w:tcW w:w="992" w:type="dxa"/>
            <w:tcBorders>
              <w:left w:val="single" w:color="auto" w:sz="4" w:space="0"/>
            </w:tcBorders>
            <w:shd w:val="clear" w:color="auto" w:fill="92D050"/>
            <w:vAlign w:val="center"/>
          </w:tcPr>
          <w:p>
            <w:pPr>
              <w:pStyle w:val="24"/>
              <w:spacing w:after="100" w:line="360" w:lineRule="auto"/>
              <w:ind w:firstLine="0"/>
              <w:jc w:val="center"/>
              <w:rPr>
                <w:rFonts w:ascii="宋体" w:hAnsi="宋体" w:eastAsia="宋体" w:cs="宋体"/>
                <w:bCs/>
                <w:sz w:val="21"/>
                <w:szCs w:val="21"/>
              </w:rPr>
            </w:pPr>
            <w:r>
              <w:rPr>
                <w:rFonts w:hint="eastAsia" w:ascii="宋体" w:hAnsi="宋体" w:eastAsia="宋体" w:cs="宋体"/>
                <w:bCs/>
                <w:sz w:val="21"/>
                <w:szCs w:val="21"/>
              </w:rPr>
              <w:t>对应行业</w:t>
            </w:r>
          </w:p>
          <w:p>
            <w:pPr>
              <w:pStyle w:val="24"/>
              <w:spacing w:line="360" w:lineRule="auto"/>
              <w:ind w:firstLine="0"/>
              <w:jc w:val="center"/>
              <w:rPr>
                <w:rFonts w:ascii="宋体" w:hAnsi="宋体" w:eastAsia="宋体" w:cs="宋体"/>
                <w:bCs/>
                <w:sz w:val="21"/>
                <w:szCs w:val="21"/>
                <w:lang w:eastAsia="zh-CN"/>
              </w:rPr>
            </w:pPr>
            <w:r>
              <w:rPr>
                <w:rFonts w:hint="eastAsia" w:ascii="宋体" w:hAnsi="宋体" w:eastAsia="宋体" w:cs="宋体"/>
                <w:bCs/>
                <w:sz w:val="21"/>
                <w:szCs w:val="21"/>
                <w:lang w:eastAsia="zh-CN"/>
              </w:rPr>
              <w:t>（</w:t>
            </w:r>
            <w:r>
              <w:rPr>
                <w:rFonts w:hint="eastAsia" w:ascii="宋体" w:hAnsi="宋体" w:eastAsia="宋体" w:cs="宋体"/>
                <w:bCs/>
                <w:sz w:val="21"/>
                <w:szCs w:val="21"/>
              </w:rPr>
              <w:t>代码</w:t>
            </w:r>
            <w:r>
              <w:rPr>
                <w:rFonts w:hint="eastAsia" w:ascii="宋体" w:hAnsi="宋体" w:eastAsia="宋体" w:cs="宋体"/>
                <w:bCs/>
                <w:sz w:val="21"/>
                <w:szCs w:val="21"/>
                <w:lang w:eastAsia="zh-CN"/>
              </w:rPr>
              <w:t>）</w:t>
            </w:r>
          </w:p>
        </w:tc>
        <w:tc>
          <w:tcPr>
            <w:tcW w:w="2410" w:type="dxa"/>
            <w:tcBorders>
              <w:left w:val="single" w:color="auto" w:sz="4" w:space="0"/>
            </w:tcBorders>
            <w:shd w:val="clear" w:color="auto" w:fill="92D050"/>
            <w:vAlign w:val="center"/>
          </w:tcPr>
          <w:p>
            <w:pPr>
              <w:pStyle w:val="24"/>
              <w:spacing w:after="100" w:line="360" w:lineRule="auto"/>
              <w:ind w:firstLine="0"/>
              <w:jc w:val="center"/>
              <w:rPr>
                <w:rFonts w:ascii="宋体" w:hAnsi="宋体" w:eastAsia="宋体" w:cs="宋体"/>
                <w:bCs/>
                <w:sz w:val="21"/>
                <w:szCs w:val="21"/>
              </w:rPr>
            </w:pPr>
            <w:r>
              <w:rPr>
                <w:rFonts w:hint="eastAsia" w:ascii="宋体" w:hAnsi="宋体" w:eastAsia="宋体" w:cs="宋体"/>
                <w:bCs/>
                <w:sz w:val="21"/>
                <w:szCs w:val="21"/>
              </w:rPr>
              <w:t>主要职业类别</w:t>
            </w:r>
          </w:p>
          <w:p>
            <w:pPr>
              <w:pStyle w:val="24"/>
              <w:spacing w:line="360" w:lineRule="auto"/>
              <w:ind w:firstLine="0"/>
              <w:jc w:val="center"/>
              <w:rPr>
                <w:rFonts w:ascii="宋体" w:hAnsi="宋体" w:eastAsia="宋体" w:cs="宋体"/>
                <w:bCs/>
                <w:sz w:val="21"/>
                <w:szCs w:val="21"/>
                <w:lang w:eastAsia="zh-CN"/>
              </w:rPr>
            </w:pPr>
            <w:r>
              <w:rPr>
                <w:rFonts w:hint="eastAsia" w:ascii="宋体" w:hAnsi="宋体" w:eastAsia="宋体" w:cs="宋体"/>
                <w:bCs/>
                <w:sz w:val="21"/>
                <w:szCs w:val="21"/>
                <w:lang w:eastAsia="zh-CN"/>
              </w:rPr>
              <w:t>（</w:t>
            </w:r>
            <w:r>
              <w:rPr>
                <w:rFonts w:hint="eastAsia" w:ascii="宋体" w:hAnsi="宋体" w:eastAsia="宋体" w:cs="宋体"/>
                <w:bCs/>
                <w:sz w:val="21"/>
                <w:szCs w:val="21"/>
              </w:rPr>
              <w:t>代码</w:t>
            </w:r>
            <w:r>
              <w:rPr>
                <w:rFonts w:hint="eastAsia" w:ascii="宋体" w:hAnsi="宋体" w:eastAsia="宋体" w:cs="宋体"/>
                <w:bCs/>
                <w:sz w:val="21"/>
                <w:szCs w:val="21"/>
                <w:lang w:eastAsia="zh-CN"/>
              </w:rPr>
              <w:t>）</w:t>
            </w:r>
          </w:p>
        </w:tc>
        <w:tc>
          <w:tcPr>
            <w:tcW w:w="1843" w:type="dxa"/>
            <w:tcBorders>
              <w:left w:val="single" w:color="auto" w:sz="4" w:space="0"/>
            </w:tcBorders>
            <w:shd w:val="clear" w:color="auto" w:fill="92D050"/>
            <w:vAlign w:val="center"/>
          </w:tcPr>
          <w:p>
            <w:pPr>
              <w:pStyle w:val="24"/>
              <w:spacing w:line="360" w:lineRule="auto"/>
              <w:ind w:firstLine="0"/>
              <w:jc w:val="center"/>
              <w:rPr>
                <w:rFonts w:ascii="宋体" w:hAnsi="宋体" w:eastAsia="宋体" w:cs="宋体"/>
                <w:bCs/>
                <w:sz w:val="21"/>
                <w:szCs w:val="21"/>
              </w:rPr>
            </w:pPr>
            <w:r>
              <w:rPr>
                <w:rFonts w:hint="eastAsia" w:ascii="宋体" w:hAnsi="宋体" w:eastAsia="宋体" w:cs="宋体"/>
                <w:bCs/>
                <w:sz w:val="21"/>
                <w:szCs w:val="21"/>
              </w:rPr>
              <w:t>主要岗位群或</w:t>
            </w:r>
          </w:p>
          <w:p>
            <w:pPr>
              <w:pStyle w:val="24"/>
              <w:spacing w:line="360" w:lineRule="auto"/>
              <w:ind w:firstLine="0"/>
              <w:jc w:val="center"/>
              <w:rPr>
                <w:rFonts w:ascii="宋体" w:hAnsi="宋体" w:eastAsia="宋体" w:cs="宋体"/>
                <w:bCs/>
                <w:sz w:val="21"/>
                <w:szCs w:val="21"/>
              </w:rPr>
            </w:pPr>
            <w:r>
              <w:rPr>
                <w:rFonts w:hint="eastAsia" w:ascii="宋体" w:hAnsi="宋体" w:eastAsia="宋体" w:cs="宋体"/>
                <w:bCs/>
                <w:sz w:val="21"/>
                <w:szCs w:val="21"/>
              </w:rPr>
              <w:t>技术领域举例</w:t>
            </w:r>
          </w:p>
        </w:tc>
        <w:tc>
          <w:tcPr>
            <w:tcW w:w="1946" w:type="dxa"/>
            <w:tcBorders>
              <w:left w:val="single" w:color="auto" w:sz="4" w:space="0"/>
            </w:tcBorders>
            <w:shd w:val="clear" w:color="auto" w:fill="92D050"/>
            <w:vAlign w:val="center"/>
          </w:tcPr>
          <w:p>
            <w:pPr>
              <w:pStyle w:val="24"/>
              <w:spacing w:line="360" w:lineRule="auto"/>
              <w:ind w:firstLine="0"/>
              <w:jc w:val="center"/>
              <w:rPr>
                <w:rFonts w:ascii="宋体" w:hAnsi="宋体" w:eastAsia="宋体" w:cs="宋体"/>
                <w:bCs/>
                <w:sz w:val="21"/>
                <w:szCs w:val="21"/>
              </w:rPr>
            </w:pPr>
            <w:r>
              <w:rPr>
                <w:rFonts w:hint="eastAsia" w:ascii="宋体" w:hAnsi="宋体" w:eastAsia="宋体" w:cs="宋体"/>
                <w:bCs/>
                <w:sz w:val="21"/>
                <w:szCs w:val="21"/>
              </w:rPr>
              <w:t>职业资格证书或技能等级证书举例</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52" w:hRule="exact"/>
          <w:jc w:val="center"/>
        </w:trPr>
        <w:tc>
          <w:tcPr>
            <w:tcW w:w="1378" w:type="dxa"/>
            <w:tcBorders>
              <w:top w:val="single" w:color="auto" w:sz="4" w:space="0"/>
            </w:tcBorders>
            <w:shd w:val="clear" w:color="auto" w:fill="FFFFFF"/>
            <w:vAlign w:val="bottom"/>
          </w:tcPr>
          <w:p>
            <w:pPr>
              <w:pStyle w:val="24"/>
              <w:spacing w:line="360" w:lineRule="auto"/>
              <w:ind w:firstLine="0"/>
              <w:jc w:val="left"/>
              <w:rPr>
                <w:rFonts w:ascii="宋体" w:hAnsi="宋体" w:eastAsia="宋体" w:cs="宋体"/>
                <w:sz w:val="21"/>
                <w:szCs w:val="21"/>
              </w:rPr>
            </w:pPr>
            <w:r>
              <w:rPr>
                <w:rFonts w:hint="eastAsia" w:ascii="宋体" w:hAnsi="宋体" w:eastAsia="宋体" w:cs="宋体"/>
                <w:sz w:val="21"/>
                <w:szCs w:val="21"/>
              </w:rPr>
              <w:t>医药卫生大类</w:t>
            </w:r>
          </w:p>
        </w:tc>
        <w:tc>
          <w:tcPr>
            <w:tcW w:w="1272" w:type="dxa"/>
            <w:tcBorders>
              <w:top w:val="single" w:color="auto" w:sz="4" w:space="0"/>
              <w:left w:val="single" w:color="auto" w:sz="4" w:space="0"/>
            </w:tcBorders>
            <w:shd w:val="clear" w:color="auto" w:fill="FFFFFF"/>
            <w:vAlign w:val="bottom"/>
          </w:tcPr>
          <w:p>
            <w:pPr>
              <w:pStyle w:val="24"/>
              <w:spacing w:line="360" w:lineRule="auto"/>
              <w:ind w:firstLine="0"/>
              <w:jc w:val="center"/>
              <w:rPr>
                <w:rFonts w:ascii="宋体" w:hAnsi="宋体" w:eastAsia="宋体" w:cs="宋体"/>
                <w:sz w:val="21"/>
                <w:szCs w:val="21"/>
              </w:rPr>
            </w:pPr>
            <w:r>
              <w:rPr>
                <w:rFonts w:hint="eastAsia" w:ascii="宋体" w:hAnsi="宋体" w:eastAsia="宋体" w:cs="宋体"/>
                <w:sz w:val="21"/>
                <w:szCs w:val="21"/>
              </w:rPr>
              <w:t>临床医学类</w:t>
            </w:r>
          </w:p>
        </w:tc>
        <w:tc>
          <w:tcPr>
            <w:tcW w:w="992" w:type="dxa"/>
            <w:vMerge w:val="restart"/>
            <w:tcBorders>
              <w:top w:val="single" w:color="auto" w:sz="4" w:space="0"/>
              <w:left w:val="single" w:color="auto" w:sz="4" w:space="0"/>
            </w:tcBorders>
            <w:shd w:val="clear" w:color="auto" w:fill="FFFFFF"/>
          </w:tcPr>
          <w:p>
            <w:pPr>
              <w:pStyle w:val="24"/>
              <w:spacing w:line="360" w:lineRule="auto"/>
              <w:ind w:firstLine="0"/>
              <w:jc w:val="center"/>
              <w:rPr>
                <w:rFonts w:ascii="宋体" w:hAnsi="宋体" w:eastAsia="宋体" w:cs="宋体"/>
                <w:sz w:val="21"/>
                <w:szCs w:val="21"/>
              </w:rPr>
            </w:pPr>
            <w:r>
              <w:rPr>
                <w:rFonts w:hint="eastAsia" w:ascii="宋体" w:hAnsi="宋体" w:eastAsia="宋体" w:cs="宋体"/>
                <w:sz w:val="21"/>
                <w:szCs w:val="21"/>
              </w:rPr>
              <w:t>卫生</w:t>
            </w:r>
          </w:p>
          <w:p>
            <w:pPr>
              <w:pStyle w:val="24"/>
              <w:spacing w:line="360" w:lineRule="auto"/>
              <w:ind w:firstLine="0"/>
              <w:jc w:val="center"/>
              <w:rPr>
                <w:rFonts w:ascii="宋体" w:hAnsi="宋体" w:eastAsia="宋体" w:cs="宋体"/>
                <w:sz w:val="21"/>
                <w:szCs w:val="21"/>
                <w:lang w:eastAsia="zh-CN"/>
              </w:rPr>
            </w:pPr>
            <w:r>
              <w:rPr>
                <w:rFonts w:hint="eastAsia" w:ascii="宋体" w:hAnsi="宋体" w:eastAsia="宋体" w:cs="宋体"/>
                <w:sz w:val="21"/>
                <w:szCs w:val="21"/>
              </w:rPr>
              <w:t>（84）</w:t>
            </w:r>
          </w:p>
        </w:tc>
        <w:tc>
          <w:tcPr>
            <w:tcW w:w="2410" w:type="dxa"/>
            <w:tcBorders>
              <w:top w:val="single" w:color="auto" w:sz="4" w:space="0"/>
              <w:left w:val="single" w:color="auto" w:sz="4" w:space="0"/>
            </w:tcBorders>
            <w:shd w:val="clear" w:color="auto" w:fill="FFFFFF"/>
            <w:vAlign w:val="bottom"/>
          </w:tcPr>
          <w:p>
            <w:pPr>
              <w:pStyle w:val="24"/>
              <w:spacing w:line="360" w:lineRule="auto"/>
              <w:ind w:firstLine="0"/>
              <w:jc w:val="left"/>
              <w:rPr>
                <w:rFonts w:ascii="宋体" w:hAnsi="宋体" w:eastAsia="宋体" w:cs="宋体"/>
                <w:sz w:val="21"/>
                <w:szCs w:val="21"/>
              </w:rPr>
            </w:pPr>
            <w:r>
              <w:rPr>
                <w:rFonts w:hint="eastAsia" w:ascii="宋体" w:hAnsi="宋体" w:eastAsia="宋体" w:cs="宋体"/>
                <w:sz w:val="21"/>
                <w:szCs w:val="21"/>
              </w:rPr>
              <w:t>全科医师</w:t>
            </w:r>
            <w:r>
              <w:rPr>
                <w:rFonts w:hint="eastAsia" w:ascii="宋体" w:hAnsi="宋体" w:eastAsia="宋体" w:cs="宋体"/>
                <w:sz w:val="21"/>
                <w:szCs w:val="21"/>
                <w:lang w:eastAsia="zh-CN"/>
              </w:rPr>
              <w:t>（</w:t>
            </w: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en-US" w:bidi="en-US"/>
              </w:rPr>
              <w:t>05</w:t>
            </w:r>
            <w:r>
              <w:rPr>
                <w:rFonts w:hint="eastAsia" w:ascii="宋体" w:hAnsi="宋体" w:eastAsia="宋体" w:cs="宋体"/>
                <w:sz w:val="21"/>
                <w:szCs w:val="21"/>
                <w:lang w:val="en-US" w:eastAsia="zh-CN" w:bidi="en-US"/>
              </w:rPr>
              <w:t>-</w:t>
            </w:r>
            <w:r>
              <w:rPr>
                <w:rFonts w:hint="eastAsia" w:ascii="宋体" w:hAnsi="宋体" w:eastAsia="宋体" w:cs="宋体"/>
                <w:sz w:val="21"/>
                <w:szCs w:val="21"/>
                <w:lang w:val="en-US" w:eastAsia="en-US" w:bidi="en-US"/>
              </w:rPr>
              <w:t>01</w:t>
            </w:r>
            <w:r>
              <w:rPr>
                <w:rFonts w:hint="eastAsia" w:ascii="宋体" w:hAnsi="宋体" w:eastAsia="宋体" w:cs="宋体"/>
                <w:sz w:val="21"/>
                <w:szCs w:val="21"/>
                <w:lang w:val="en-US" w:eastAsia="zh-CN" w:bidi="en-US"/>
              </w:rPr>
              <w:t>-</w:t>
            </w:r>
            <w:r>
              <w:rPr>
                <w:rFonts w:hint="eastAsia" w:ascii="宋体" w:hAnsi="宋体" w:eastAsia="宋体" w:cs="宋体"/>
                <w:sz w:val="21"/>
                <w:szCs w:val="21"/>
                <w:lang w:val="en-US" w:eastAsia="en-US" w:bidi="en-US"/>
              </w:rPr>
              <w:t>19</w:t>
            </w:r>
            <w:r>
              <w:rPr>
                <w:rFonts w:hint="eastAsia" w:ascii="宋体" w:hAnsi="宋体" w:eastAsia="宋体" w:cs="宋体"/>
                <w:sz w:val="21"/>
                <w:szCs w:val="21"/>
                <w:lang w:val="en-US" w:eastAsia="zh-CN" w:bidi="en-US"/>
              </w:rPr>
              <w:t>）</w:t>
            </w:r>
            <w:r>
              <w:rPr>
                <w:rFonts w:hint="eastAsia" w:ascii="宋体" w:hAnsi="宋体" w:eastAsia="宋体" w:cs="宋体"/>
                <w:sz w:val="21"/>
                <w:szCs w:val="21"/>
              </w:rPr>
              <w:t>；</w:t>
            </w:r>
          </w:p>
        </w:tc>
        <w:tc>
          <w:tcPr>
            <w:tcW w:w="1843" w:type="dxa"/>
            <w:tcBorders>
              <w:top w:val="single" w:color="auto" w:sz="4" w:space="0"/>
              <w:left w:val="single" w:color="auto" w:sz="4" w:space="0"/>
            </w:tcBorders>
            <w:shd w:val="clear" w:color="auto" w:fill="FFFFFF"/>
            <w:vAlign w:val="bottom"/>
          </w:tcPr>
          <w:p>
            <w:pPr>
              <w:pStyle w:val="24"/>
              <w:spacing w:line="360" w:lineRule="auto"/>
              <w:ind w:firstLine="0"/>
              <w:jc w:val="left"/>
              <w:rPr>
                <w:rFonts w:ascii="宋体" w:hAnsi="宋体" w:eastAsia="宋体" w:cs="宋体"/>
                <w:sz w:val="21"/>
                <w:szCs w:val="21"/>
              </w:rPr>
            </w:pPr>
            <w:r>
              <w:rPr>
                <w:rFonts w:hint="eastAsia" w:ascii="宋体" w:hAnsi="宋体" w:eastAsia="宋体" w:cs="宋体"/>
                <w:sz w:val="21"/>
                <w:szCs w:val="21"/>
              </w:rPr>
              <w:t>临床医疗；</w:t>
            </w:r>
          </w:p>
        </w:tc>
        <w:tc>
          <w:tcPr>
            <w:tcW w:w="1946" w:type="dxa"/>
            <w:vMerge w:val="restart"/>
            <w:tcBorders>
              <w:top w:val="single" w:color="auto" w:sz="4" w:space="0"/>
              <w:left w:val="single" w:color="auto" w:sz="4" w:space="0"/>
            </w:tcBorders>
            <w:shd w:val="clear" w:color="auto" w:fill="FFFFFF"/>
            <w:vAlign w:val="center"/>
          </w:tcPr>
          <w:p>
            <w:pPr>
              <w:pStyle w:val="24"/>
              <w:spacing w:line="360" w:lineRule="auto"/>
              <w:ind w:firstLine="0"/>
              <w:rPr>
                <w:rFonts w:ascii="宋体" w:hAnsi="宋体" w:eastAsia="宋体" w:cs="宋体"/>
                <w:sz w:val="21"/>
                <w:szCs w:val="21"/>
                <w:lang w:eastAsia="zh-CN"/>
              </w:rPr>
            </w:pPr>
            <w:r>
              <w:rPr>
                <w:rFonts w:hint="eastAsia" w:ascii="宋体" w:hAnsi="宋体" w:eastAsia="宋体" w:cs="宋体"/>
                <w:sz w:val="21"/>
                <w:szCs w:val="21"/>
              </w:rPr>
              <w:t>执业助理医师资格</w:t>
            </w:r>
            <w:r>
              <w:rPr>
                <w:rFonts w:hint="eastAsia" w:ascii="宋体" w:hAnsi="宋体" w:eastAsia="宋体" w:cs="宋体"/>
                <w:sz w:val="21"/>
                <w:szCs w:val="21"/>
                <w:lang w:eastAsia="zh-CN"/>
              </w:rPr>
              <w:t>证</w:t>
            </w:r>
          </w:p>
          <w:p>
            <w:pPr>
              <w:pStyle w:val="24"/>
              <w:spacing w:line="360" w:lineRule="auto"/>
              <w:ind w:firstLine="0"/>
              <w:rPr>
                <w:rFonts w:ascii="宋体" w:hAnsi="宋体" w:eastAsia="宋体" w:cs="宋体"/>
                <w:sz w:val="21"/>
                <w:szCs w:val="21"/>
                <w:lang w:eastAsia="zh-CN"/>
              </w:rPr>
            </w:pPr>
            <w:r>
              <w:rPr>
                <w:rFonts w:hint="eastAsia" w:ascii="宋体" w:hAnsi="宋体" w:eastAsia="宋体" w:cs="宋体"/>
                <w:sz w:val="21"/>
                <w:szCs w:val="21"/>
                <w:lang w:eastAsia="zh-CN"/>
              </w:rPr>
              <w:t>健康管理师</w:t>
            </w:r>
          </w:p>
          <w:p>
            <w:pPr>
              <w:pStyle w:val="24"/>
              <w:spacing w:line="360" w:lineRule="auto"/>
              <w:ind w:firstLine="0"/>
              <w:rPr>
                <w:rFonts w:ascii="宋体" w:hAnsi="宋体" w:eastAsia="宋体" w:cs="宋体"/>
                <w:sz w:val="21"/>
                <w:szCs w:val="21"/>
                <w:lang w:eastAsia="zh-CN"/>
              </w:rPr>
            </w:pPr>
            <w:r>
              <w:rPr>
                <w:rFonts w:hint="eastAsia" w:ascii="宋体" w:hAnsi="宋体" w:eastAsia="宋体" w:cs="宋体"/>
                <w:sz w:val="21"/>
                <w:szCs w:val="21"/>
                <w:lang w:eastAsia="zh-CN"/>
              </w:rPr>
              <w:t>公共营养师</w:t>
            </w:r>
          </w:p>
          <w:p>
            <w:pPr>
              <w:pStyle w:val="24"/>
              <w:spacing w:line="360" w:lineRule="auto"/>
              <w:ind w:firstLine="0"/>
              <w:rPr>
                <w:rFonts w:ascii="宋体" w:hAnsi="宋体" w:eastAsia="宋体" w:cs="宋体"/>
                <w:sz w:val="21"/>
                <w:szCs w:val="21"/>
                <w:lang w:eastAsia="zh-CN"/>
              </w:rPr>
            </w:pPr>
            <w:r>
              <w:rPr>
                <w:rFonts w:hint="eastAsia" w:ascii="宋体" w:hAnsi="宋体" w:eastAsia="宋体" w:cs="宋体"/>
                <w:sz w:val="21"/>
                <w:szCs w:val="21"/>
                <w:lang w:eastAsia="zh-CN"/>
              </w:rPr>
              <w:t>心理咨询师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416" w:hRule="exact"/>
          <w:jc w:val="center"/>
        </w:trPr>
        <w:tc>
          <w:tcPr>
            <w:tcW w:w="1378" w:type="dxa"/>
            <w:shd w:val="clear" w:color="auto" w:fill="FFFFFF"/>
          </w:tcPr>
          <w:p>
            <w:pPr>
              <w:pStyle w:val="24"/>
              <w:spacing w:line="360" w:lineRule="auto"/>
              <w:ind w:firstLine="0"/>
              <w:jc w:val="center"/>
              <w:rPr>
                <w:rFonts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62</w:t>
            </w:r>
            <w:r>
              <w:rPr>
                <w:rFonts w:hint="eastAsia" w:ascii="宋体" w:hAnsi="宋体" w:eastAsia="宋体" w:cs="宋体"/>
                <w:sz w:val="21"/>
                <w:szCs w:val="21"/>
                <w:lang w:eastAsia="zh-CN"/>
              </w:rPr>
              <w:t>）</w:t>
            </w:r>
          </w:p>
        </w:tc>
        <w:tc>
          <w:tcPr>
            <w:tcW w:w="1272" w:type="dxa"/>
            <w:tcBorders>
              <w:left w:val="single" w:color="auto" w:sz="4" w:space="0"/>
            </w:tcBorders>
            <w:shd w:val="clear" w:color="auto" w:fill="FFFFFF"/>
          </w:tcPr>
          <w:p>
            <w:pPr>
              <w:pStyle w:val="24"/>
              <w:spacing w:line="360" w:lineRule="auto"/>
              <w:ind w:firstLine="0"/>
              <w:jc w:val="center"/>
              <w:rPr>
                <w:rFonts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6201</w:t>
            </w:r>
            <w:r>
              <w:rPr>
                <w:rFonts w:hint="eastAsia" w:ascii="宋体" w:hAnsi="宋体" w:eastAsia="宋体" w:cs="宋体"/>
                <w:sz w:val="21"/>
                <w:szCs w:val="21"/>
                <w:lang w:eastAsia="zh-CN"/>
              </w:rPr>
              <w:t>）</w:t>
            </w:r>
          </w:p>
        </w:tc>
        <w:tc>
          <w:tcPr>
            <w:tcW w:w="992" w:type="dxa"/>
            <w:vMerge w:val="continue"/>
            <w:tcBorders>
              <w:left w:val="single" w:color="auto" w:sz="4" w:space="0"/>
            </w:tcBorders>
            <w:shd w:val="clear" w:color="auto" w:fill="FFFFFF"/>
            <w:vAlign w:val="center"/>
          </w:tcPr>
          <w:p>
            <w:pPr>
              <w:spacing w:line="360" w:lineRule="auto"/>
              <w:rPr>
                <w:rFonts w:ascii="宋体" w:hAnsi="宋体" w:cs="宋体"/>
                <w:szCs w:val="21"/>
              </w:rPr>
            </w:pPr>
          </w:p>
        </w:tc>
        <w:tc>
          <w:tcPr>
            <w:tcW w:w="2410" w:type="dxa"/>
            <w:tcBorders>
              <w:left w:val="single" w:color="auto" w:sz="4" w:space="0"/>
            </w:tcBorders>
            <w:shd w:val="clear" w:color="auto" w:fill="FFFFFF"/>
          </w:tcPr>
          <w:p>
            <w:pPr>
              <w:pStyle w:val="24"/>
              <w:spacing w:line="360" w:lineRule="auto"/>
              <w:ind w:firstLine="0"/>
              <w:jc w:val="left"/>
              <w:rPr>
                <w:rFonts w:ascii="宋体" w:hAnsi="宋体" w:eastAsia="宋体" w:cs="宋体"/>
                <w:sz w:val="21"/>
                <w:szCs w:val="21"/>
                <w:lang w:eastAsia="zh-CN"/>
              </w:rPr>
            </w:pPr>
            <w:r>
              <w:rPr>
                <w:rFonts w:hint="eastAsia" w:ascii="宋体" w:hAnsi="宋体" w:eastAsia="宋体" w:cs="宋体"/>
                <w:sz w:val="21"/>
                <w:szCs w:val="21"/>
              </w:rPr>
              <w:t>乡村医生</w:t>
            </w:r>
            <w:r>
              <w:rPr>
                <w:rFonts w:hint="eastAsia" w:ascii="宋体" w:hAnsi="宋体" w:eastAsia="宋体" w:cs="宋体"/>
                <w:sz w:val="21"/>
                <w:szCs w:val="21"/>
                <w:lang w:eastAsia="zh-CN"/>
              </w:rPr>
              <w:t>（</w:t>
            </w: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en-US" w:bidi="en-US"/>
              </w:rPr>
              <w:t>05</w:t>
            </w:r>
            <w:r>
              <w:rPr>
                <w:rFonts w:hint="eastAsia" w:ascii="宋体" w:hAnsi="宋体" w:eastAsia="宋体" w:cs="宋体"/>
                <w:sz w:val="21"/>
                <w:szCs w:val="21"/>
                <w:lang w:val="en-US" w:eastAsia="zh-CN" w:bidi="en-US"/>
              </w:rPr>
              <w:t>-</w:t>
            </w:r>
            <w:r>
              <w:rPr>
                <w:rFonts w:hint="eastAsia" w:ascii="宋体" w:hAnsi="宋体" w:eastAsia="宋体" w:cs="宋体"/>
                <w:sz w:val="21"/>
                <w:szCs w:val="21"/>
                <w:lang w:val="en-US" w:eastAsia="en-US" w:bidi="en-US"/>
              </w:rPr>
              <w:t>09</w:t>
            </w:r>
            <w:r>
              <w:rPr>
                <w:rFonts w:hint="eastAsia" w:ascii="宋体" w:hAnsi="宋体" w:eastAsia="宋体" w:cs="宋体"/>
                <w:sz w:val="21"/>
                <w:szCs w:val="21"/>
                <w:lang w:val="en-US" w:eastAsia="zh-CN" w:bidi="en-US"/>
              </w:rPr>
              <w:t>-</w:t>
            </w:r>
            <w:r>
              <w:rPr>
                <w:rFonts w:hint="eastAsia" w:ascii="宋体" w:hAnsi="宋体" w:eastAsia="宋体" w:cs="宋体"/>
                <w:sz w:val="21"/>
                <w:szCs w:val="21"/>
                <w:lang w:val="en-US" w:eastAsia="en-US" w:bidi="en-US"/>
              </w:rPr>
              <w:t>00</w:t>
            </w:r>
            <w:r>
              <w:rPr>
                <w:rFonts w:hint="eastAsia" w:ascii="宋体" w:hAnsi="宋体" w:eastAsia="宋体" w:cs="宋体"/>
                <w:sz w:val="21"/>
                <w:szCs w:val="21"/>
                <w:lang w:val="en-US" w:eastAsia="zh-CN" w:bidi="en-US"/>
              </w:rPr>
              <w:t>）</w:t>
            </w:r>
          </w:p>
        </w:tc>
        <w:tc>
          <w:tcPr>
            <w:tcW w:w="1843" w:type="dxa"/>
            <w:tcBorders>
              <w:left w:val="single" w:color="auto" w:sz="4" w:space="0"/>
            </w:tcBorders>
            <w:shd w:val="clear" w:color="auto" w:fill="FFFFFF"/>
          </w:tcPr>
          <w:p>
            <w:pPr>
              <w:pStyle w:val="24"/>
              <w:spacing w:line="360" w:lineRule="auto"/>
              <w:ind w:firstLine="0"/>
              <w:jc w:val="left"/>
              <w:rPr>
                <w:rFonts w:ascii="宋体" w:hAnsi="宋体" w:eastAsia="宋体" w:cs="宋体"/>
                <w:sz w:val="21"/>
                <w:szCs w:val="21"/>
              </w:rPr>
            </w:pPr>
            <w:r>
              <w:rPr>
                <w:rFonts w:hint="eastAsia" w:ascii="宋体" w:hAnsi="宋体" w:eastAsia="宋体" w:cs="宋体"/>
                <w:sz w:val="21"/>
                <w:szCs w:val="21"/>
              </w:rPr>
              <w:t>基本公共卫生服务</w:t>
            </w:r>
          </w:p>
        </w:tc>
        <w:tc>
          <w:tcPr>
            <w:tcW w:w="1946" w:type="dxa"/>
            <w:vMerge w:val="continue"/>
            <w:tcBorders>
              <w:left w:val="single" w:color="auto" w:sz="4" w:space="0"/>
            </w:tcBorders>
            <w:shd w:val="clear" w:color="auto" w:fill="FFFFFF"/>
            <w:vAlign w:val="center"/>
          </w:tcPr>
          <w:p>
            <w:pPr>
              <w:pStyle w:val="24"/>
              <w:spacing w:line="360" w:lineRule="auto"/>
              <w:ind w:firstLine="0"/>
              <w:jc w:val="left"/>
              <w:rPr>
                <w:rFonts w:ascii="宋体" w:hAnsi="宋体" w:eastAsia="宋体" w:cs="宋体"/>
                <w:sz w:val="21"/>
                <w:szCs w:val="21"/>
                <w:lang w:eastAsia="zh-CN"/>
              </w:rPr>
            </w:pPr>
          </w:p>
        </w:tc>
      </w:tr>
    </w:tbl>
    <w:p>
      <w:pPr>
        <w:spacing w:line="360" w:lineRule="auto"/>
        <w:ind w:firstLine="482" w:firstLineChars="200"/>
        <w:jc w:val="left"/>
        <w:outlineLvl w:val="0"/>
        <w:rPr>
          <w:rFonts w:ascii="宋体" w:hAnsi="宋体" w:cs="宋体"/>
          <w:b/>
          <w:bCs/>
          <w:color w:val="000000"/>
          <w:sz w:val="24"/>
          <w:szCs w:val="21"/>
        </w:rPr>
      </w:pPr>
      <w:r>
        <w:rPr>
          <w:rFonts w:hint="eastAsia" w:ascii="宋体" w:hAnsi="宋体"/>
          <w:b/>
          <w:sz w:val="24"/>
          <w:szCs w:val="24"/>
        </w:rPr>
        <w:t>（二）</w:t>
      </w:r>
      <w:r>
        <w:rPr>
          <w:rFonts w:hint="eastAsia" w:ascii="宋体" w:hAnsi="宋体" w:cs="宋体"/>
          <w:b/>
          <w:bCs/>
          <w:color w:val="000000"/>
          <w:sz w:val="24"/>
          <w:szCs w:val="21"/>
        </w:rPr>
        <w:t>职业岗位及职业能力要求</w:t>
      </w:r>
    </w:p>
    <w:p>
      <w:pPr>
        <w:spacing w:line="360" w:lineRule="auto"/>
        <w:ind w:firstLine="482" w:firstLineChars="200"/>
        <w:jc w:val="left"/>
        <w:outlineLvl w:val="0"/>
        <w:rPr>
          <w:rFonts w:ascii="宋体" w:hAnsi="宋体"/>
          <w:bCs/>
          <w:sz w:val="24"/>
          <w:szCs w:val="24"/>
        </w:rPr>
      </w:pPr>
      <w:r>
        <w:rPr>
          <w:rFonts w:hint="eastAsia" w:ascii="宋体" w:hAnsi="宋体"/>
          <w:b/>
          <w:bCs/>
          <w:sz w:val="24"/>
          <w:szCs w:val="24"/>
        </w:rPr>
        <w:t>1.</w:t>
      </w:r>
      <w:r>
        <w:rPr>
          <w:rFonts w:hint="eastAsia" w:ascii="宋体" w:hAnsi="宋体" w:cs="宋体"/>
          <w:b/>
          <w:bCs/>
          <w:color w:val="000000"/>
          <w:sz w:val="24"/>
          <w:szCs w:val="21"/>
        </w:rPr>
        <w:t>职业岗位</w:t>
      </w:r>
    </w:p>
    <w:p>
      <w:pPr>
        <w:spacing w:line="360" w:lineRule="auto"/>
        <w:ind w:firstLine="480" w:firstLineChars="200"/>
        <w:jc w:val="left"/>
        <w:outlineLvl w:val="0"/>
        <w:rPr>
          <w:rFonts w:ascii="宋体" w:hAnsi="宋体"/>
          <w:bCs/>
          <w:sz w:val="24"/>
          <w:szCs w:val="24"/>
        </w:rPr>
      </w:pPr>
      <w:r>
        <w:rPr>
          <w:rFonts w:hint="eastAsia" w:ascii="宋体" w:hAnsi="宋体"/>
          <w:bCs/>
          <w:sz w:val="24"/>
          <w:szCs w:val="24"/>
        </w:rPr>
        <w:t>（1）初始岗位</w:t>
      </w:r>
    </w:p>
    <w:p>
      <w:pPr>
        <w:spacing w:line="360" w:lineRule="auto"/>
        <w:ind w:firstLine="480" w:firstLineChars="200"/>
        <w:jc w:val="left"/>
        <w:outlineLvl w:val="0"/>
        <w:rPr>
          <w:rFonts w:ascii="宋体" w:hAnsi="宋体"/>
          <w:sz w:val="24"/>
          <w:szCs w:val="24"/>
        </w:rPr>
      </w:pPr>
      <w:r>
        <w:rPr>
          <w:rFonts w:hint="eastAsia" w:ascii="宋体" w:hAnsi="宋体"/>
          <w:sz w:val="24"/>
          <w:szCs w:val="24"/>
        </w:rPr>
        <w:t>毕业1年后，通过全国统一考试获得临床类别执业助理医师资格，在此基础上通过转岗培训、考试获得全科助理医师资格。在农村乡镇卫生院、城市社区卫生服务中心（站）担任内科、外科、妇产科、儿科等临床各科的执业助理医师，或担任全科助理医师。</w:t>
      </w:r>
    </w:p>
    <w:p>
      <w:pPr>
        <w:spacing w:line="360" w:lineRule="auto"/>
        <w:ind w:firstLine="480" w:firstLineChars="200"/>
        <w:jc w:val="left"/>
        <w:outlineLvl w:val="0"/>
        <w:rPr>
          <w:rFonts w:ascii="宋体" w:hAnsi="宋体"/>
          <w:bCs/>
          <w:sz w:val="24"/>
          <w:szCs w:val="24"/>
        </w:rPr>
      </w:pPr>
      <w:r>
        <w:rPr>
          <w:rFonts w:hint="eastAsia" w:ascii="宋体" w:hAnsi="宋体"/>
          <w:bCs/>
          <w:sz w:val="24"/>
          <w:szCs w:val="24"/>
        </w:rPr>
        <w:t>（2）发展岗位</w:t>
      </w:r>
    </w:p>
    <w:p>
      <w:pPr>
        <w:spacing w:line="360" w:lineRule="auto"/>
        <w:ind w:firstLine="480" w:firstLineChars="200"/>
        <w:jc w:val="left"/>
        <w:outlineLvl w:val="0"/>
        <w:rPr>
          <w:rFonts w:ascii="宋体" w:hAnsi="宋体"/>
          <w:sz w:val="24"/>
          <w:szCs w:val="24"/>
        </w:rPr>
      </w:pPr>
      <w:r>
        <w:rPr>
          <w:rFonts w:hint="eastAsia" w:ascii="宋体" w:hAnsi="宋体"/>
          <w:sz w:val="24"/>
          <w:szCs w:val="24"/>
        </w:rPr>
        <w:t>获得执业助理医师资格2年后，通过全国统一考试获得临床类别执业医师资格，在此基础上通过转岗培训、考试获得全科医师资格。担任内科、外科、妇产科、儿科等临床各科的执业医师，或担任全科医师。</w:t>
      </w:r>
    </w:p>
    <w:p>
      <w:pPr>
        <w:spacing w:line="360" w:lineRule="auto"/>
        <w:ind w:firstLine="482" w:firstLineChars="200"/>
        <w:jc w:val="left"/>
        <w:outlineLvl w:val="0"/>
        <w:rPr>
          <w:rFonts w:ascii="宋体" w:hAnsi="宋体"/>
          <w:b/>
          <w:sz w:val="24"/>
          <w:szCs w:val="24"/>
        </w:rPr>
      </w:pPr>
      <w:r>
        <w:rPr>
          <w:rFonts w:ascii="宋体" w:hAnsi="宋体"/>
          <w:b/>
          <w:sz w:val="24"/>
          <w:szCs w:val="24"/>
        </w:rPr>
        <w:t>2.</w:t>
      </w:r>
      <w:r>
        <w:rPr>
          <w:rFonts w:hint="eastAsia" w:ascii="宋体" w:hAnsi="宋体"/>
          <w:b/>
          <w:sz w:val="24"/>
          <w:szCs w:val="24"/>
        </w:rPr>
        <w:t>职业能力要求</w:t>
      </w:r>
    </w:p>
    <w:p>
      <w:pPr>
        <w:spacing w:line="360" w:lineRule="auto"/>
        <w:ind w:firstLine="480" w:firstLineChars="200"/>
        <w:jc w:val="left"/>
        <w:outlineLvl w:val="0"/>
        <w:rPr>
          <w:rFonts w:ascii="宋体" w:hAnsi="宋体" w:cs="宋体"/>
          <w:color w:val="000000"/>
          <w:sz w:val="24"/>
          <w:szCs w:val="21"/>
        </w:rPr>
      </w:pPr>
      <w:r>
        <w:rPr>
          <w:rFonts w:hint="eastAsia" w:ascii="宋体" w:hAnsi="宋体" w:cs="宋体"/>
          <w:color w:val="000000"/>
          <w:sz w:val="24"/>
          <w:szCs w:val="21"/>
        </w:rPr>
        <w:t>本专业主要面向</w:t>
      </w:r>
      <w:r>
        <w:rPr>
          <w:rFonts w:hint="eastAsia" w:ascii="宋体" w:hAnsi="宋体"/>
          <w:sz w:val="24"/>
          <w:szCs w:val="24"/>
        </w:rPr>
        <w:t>农村乡镇卫生院、城市社区卫生服务中心（站），从事临床医疗、基本公共卫生服务，职业能力与1+X课证融通能力要求详见</w:t>
      </w:r>
      <w:r>
        <w:rPr>
          <w:rFonts w:hint="eastAsia" w:ascii="宋体" w:hAnsi="宋体" w:cs="宋体"/>
          <w:color w:val="000000"/>
          <w:sz w:val="24"/>
          <w:szCs w:val="21"/>
        </w:rPr>
        <w:t>表2。</w:t>
      </w:r>
    </w:p>
    <w:p>
      <w:pPr>
        <w:spacing w:line="360" w:lineRule="auto"/>
        <w:jc w:val="center"/>
        <w:outlineLvl w:val="0"/>
        <w:rPr>
          <w:rFonts w:ascii="宋体" w:hAnsi="宋体"/>
          <w:b/>
          <w:sz w:val="24"/>
          <w:szCs w:val="24"/>
        </w:rPr>
      </w:pPr>
      <w:r>
        <w:rPr>
          <w:rFonts w:hint="eastAsia" w:ascii="宋体" w:hAnsi="宋体" w:cs="宋体"/>
          <w:b/>
          <w:szCs w:val="21"/>
        </w:rPr>
        <w:t>表2  职业能力与1+X课证融通能力要求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701"/>
        <w:gridCol w:w="1985"/>
        <w:gridCol w:w="2126"/>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92D050"/>
            <w:vAlign w:val="center"/>
          </w:tcPr>
          <w:p>
            <w:pPr>
              <w:spacing w:line="360" w:lineRule="auto"/>
              <w:jc w:val="center"/>
              <w:outlineLvl w:val="0"/>
              <w:rPr>
                <w:rFonts w:ascii="宋体" w:hAnsi="宋体"/>
                <w:szCs w:val="21"/>
              </w:rPr>
            </w:pPr>
            <w:r>
              <w:rPr>
                <w:rFonts w:hint="eastAsia" w:ascii="宋体" w:hAnsi="宋体"/>
                <w:szCs w:val="21"/>
              </w:rPr>
              <w:t>执业领域</w:t>
            </w:r>
          </w:p>
        </w:tc>
        <w:tc>
          <w:tcPr>
            <w:tcW w:w="1701" w:type="dxa"/>
            <w:shd w:val="clear" w:color="auto" w:fill="92D050"/>
            <w:vAlign w:val="center"/>
          </w:tcPr>
          <w:p>
            <w:pPr>
              <w:spacing w:line="360" w:lineRule="auto"/>
              <w:jc w:val="center"/>
              <w:outlineLvl w:val="0"/>
              <w:rPr>
                <w:rFonts w:ascii="宋体" w:hAnsi="宋体"/>
                <w:szCs w:val="21"/>
              </w:rPr>
            </w:pPr>
            <w:r>
              <w:rPr>
                <w:rFonts w:hint="eastAsia" w:ascii="宋体" w:hAnsi="宋体"/>
                <w:szCs w:val="21"/>
              </w:rPr>
              <w:t>职业岗位</w:t>
            </w:r>
          </w:p>
        </w:tc>
        <w:tc>
          <w:tcPr>
            <w:tcW w:w="1985" w:type="dxa"/>
            <w:shd w:val="clear" w:color="auto" w:fill="92D050"/>
            <w:vAlign w:val="center"/>
          </w:tcPr>
          <w:p>
            <w:pPr>
              <w:spacing w:line="360" w:lineRule="auto"/>
              <w:jc w:val="center"/>
              <w:outlineLvl w:val="0"/>
              <w:rPr>
                <w:rFonts w:ascii="宋体" w:hAnsi="宋体"/>
                <w:szCs w:val="21"/>
              </w:rPr>
            </w:pPr>
            <w:r>
              <w:rPr>
                <w:rFonts w:hint="eastAsia" w:ascii="宋体" w:hAnsi="宋体"/>
                <w:szCs w:val="21"/>
              </w:rPr>
              <w:t>技术领域</w:t>
            </w:r>
          </w:p>
        </w:tc>
        <w:tc>
          <w:tcPr>
            <w:tcW w:w="2126" w:type="dxa"/>
            <w:shd w:val="clear" w:color="auto" w:fill="92D050"/>
            <w:vAlign w:val="center"/>
          </w:tcPr>
          <w:p>
            <w:pPr>
              <w:spacing w:line="360" w:lineRule="auto"/>
              <w:jc w:val="center"/>
              <w:outlineLvl w:val="0"/>
              <w:rPr>
                <w:rFonts w:ascii="宋体" w:hAnsi="宋体"/>
                <w:szCs w:val="21"/>
              </w:rPr>
            </w:pPr>
            <w:r>
              <w:rPr>
                <w:rFonts w:hint="eastAsia" w:ascii="宋体" w:hAnsi="宋体"/>
                <w:szCs w:val="21"/>
              </w:rPr>
              <w:t>主要职业能力要求</w:t>
            </w:r>
          </w:p>
        </w:tc>
        <w:tc>
          <w:tcPr>
            <w:tcW w:w="2233" w:type="dxa"/>
            <w:shd w:val="clear" w:color="auto" w:fill="92D050"/>
            <w:vAlign w:val="center"/>
          </w:tcPr>
          <w:p>
            <w:pPr>
              <w:spacing w:line="360" w:lineRule="auto"/>
              <w:jc w:val="center"/>
              <w:outlineLvl w:val="0"/>
              <w:rPr>
                <w:rFonts w:ascii="宋体" w:hAnsi="宋体"/>
                <w:szCs w:val="21"/>
              </w:rPr>
            </w:pPr>
            <w:r>
              <w:rPr>
                <w:rFonts w:hint="eastAsia" w:ascii="宋体" w:hAnsi="宋体"/>
                <w:szCs w:val="21"/>
              </w:rPr>
              <w:t>1+X课证融通</w:t>
            </w:r>
          </w:p>
          <w:p>
            <w:pPr>
              <w:spacing w:line="360" w:lineRule="auto"/>
              <w:jc w:val="center"/>
              <w:outlineLvl w:val="0"/>
              <w:rPr>
                <w:rFonts w:ascii="宋体" w:hAnsi="宋体"/>
                <w:szCs w:val="21"/>
              </w:rPr>
            </w:pPr>
            <w:r>
              <w:rPr>
                <w:rFonts w:hint="eastAsia" w:ascii="宋体" w:hAnsi="宋体"/>
                <w:szCs w:val="21"/>
              </w:rPr>
              <w:t>主要能力要求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tcPr>
          <w:p>
            <w:pPr>
              <w:spacing w:line="360" w:lineRule="auto"/>
              <w:jc w:val="left"/>
              <w:outlineLvl w:val="0"/>
              <w:rPr>
                <w:rFonts w:ascii="宋体" w:hAnsi="宋体"/>
                <w:szCs w:val="21"/>
              </w:rPr>
            </w:pPr>
            <w:r>
              <w:rPr>
                <w:rFonts w:hint="eastAsia" w:ascii="宋体" w:hAnsi="宋体"/>
                <w:szCs w:val="21"/>
              </w:rPr>
              <w:t>农村乡镇卫生院；城市社区卫生服务中心（站）</w:t>
            </w:r>
          </w:p>
        </w:tc>
        <w:tc>
          <w:tcPr>
            <w:tcW w:w="1701" w:type="dxa"/>
            <w:vMerge w:val="restart"/>
          </w:tcPr>
          <w:p>
            <w:pPr>
              <w:spacing w:line="360" w:lineRule="auto"/>
              <w:jc w:val="left"/>
              <w:outlineLvl w:val="0"/>
              <w:rPr>
                <w:rFonts w:ascii="宋体" w:hAnsi="宋体"/>
                <w:szCs w:val="21"/>
              </w:rPr>
            </w:pPr>
            <w:r>
              <w:rPr>
                <w:rFonts w:hint="eastAsia" w:ascii="宋体" w:hAnsi="宋体"/>
                <w:szCs w:val="21"/>
              </w:rPr>
              <w:t>执业助理医师；</w:t>
            </w:r>
          </w:p>
          <w:p>
            <w:pPr>
              <w:spacing w:line="360" w:lineRule="auto"/>
              <w:jc w:val="left"/>
              <w:outlineLvl w:val="0"/>
              <w:rPr>
                <w:rFonts w:ascii="宋体" w:hAnsi="宋体"/>
                <w:szCs w:val="21"/>
              </w:rPr>
            </w:pPr>
            <w:r>
              <w:rPr>
                <w:rFonts w:hint="eastAsia" w:ascii="宋体" w:hAnsi="宋体"/>
                <w:szCs w:val="21"/>
              </w:rPr>
              <w:t>全科助理医师</w:t>
            </w:r>
          </w:p>
        </w:tc>
        <w:tc>
          <w:tcPr>
            <w:tcW w:w="1985" w:type="dxa"/>
            <w:vMerge w:val="restart"/>
          </w:tcPr>
          <w:p>
            <w:pPr>
              <w:spacing w:line="360" w:lineRule="auto"/>
              <w:jc w:val="left"/>
              <w:outlineLvl w:val="0"/>
              <w:rPr>
                <w:rFonts w:ascii="宋体" w:hAnsi="宋体"/>
                <w:szCs w:val="21"/>
              </w:rPr>
            </w:pPr>
            <w:r>
              <w:rPr>
                <w:rFonts w:hint="eastAsia" w:ascii="宋体" w:hAnsi="宋体"/>
                <w:szCs w:val="21"/>
              </w:rPr>
              <w:t>临床医疗；</w:t>
            </w:r>
          </w:p>
          <w:p>
            <w:pPr>
              <w:spacing w:line="360" w:lineRule="auto"/>
              <w:jc w:val="left"/>
              <w:outlineLvl w:val="0"/>
              <w:rPr>
                <w:rFonts w:ascii="宋体" w:hAnsi="宋体"/>
                <w:szCs w:val="21"/>
              </w:rPr>
            </w:pPr>
            <w:r>
              <w:rPr>
                <w:rFonts w:hint="eastAsia" w:ascii="宋体" w:hAnsi="宋体"/>
                <w:szCs w:val="21"/>
              </w:rPr>
              <w:t>基本公共卫生服务</w:t>
            </w:r>
          </w:p>
        </w:tc>
        <w:tc>
          <w:tcPr>
            <w:tcW w:w="2126" w:type="dxa"/>
            <w:vMerge w:val="restart"/>
          </w:tcPr>
          <w:p>
            <w:pPr>
              <w:spacing w:line="360" w:lineRule="auto"/>
              <w:jc w:val="left"/>
              <w:outlineLvl w:val="0"/>
              <w:rPr>
                <w:rFonts w:ascii="宋体" w:hAnsi="宋体"/>
                <w:szCs w:val="21"/>
              </w:rPr>
            </w:pPr>
            <w:r>
              <w:rPr>
                <w:rFonts w:hint="eastAsia" w:ascii="宋体" w:hAnsi="宋体"/>
                <w:szCs w:val="21"/>
              </w:rPr>
              <w:t>1.能对病人和公众进行健康生活方式、疾病预防等知识宣教。</w:t>
            </w:r>
          </w:p>
          <w:p>
            <w:pPr>
              <w:spacing w:line="360" w:lineRule="auto"/>
              <w:jc w:val="left"/>
              <w:outlineLvl w:val="0"/>
              <w:rPr>
                <w:rFonts w:ascii="宋体" w:hAnsi="宋体"/>
                <w:szCs w:val="21"/>
              </w:rPr>
            </w:pPr>
            <w:r>
              <w:rPr>
                <w:rFonts w:hint="eastAsia" w:ascii="宋体" w:hAnsi="宋体"/>
                <w:szCs w:val="21"/>
              </w:rPr>
              <w:t>2.能进行临床基本诊疗技术操作，具有临床各科常见病、多发病的诊断和处理能力，会合理使用临床常用药物。</w:t>
            </w:r>
          </w:p>
          <w:p>
            <w:pPr>
              <w:spacing w:line="360" w:lineRule="auto"/>
              <w:jc w:val="left"/>
              <w:outlineLvl w:val="0"/>
              <w:rPr>
                <w:rFonts w:ascii="宋体" w:hAnsi="宋体"/>
                <w:szCs w:val="21"/>
              </w:rPr>
            </w:pPr>
            <w:r>
              <w:rPr>
                <w:rFonts w:hint="eastAsia" w:ascii="宋体" w:hAnsi="宋体"/>
                <w:szCs w:val="21"/>
              </w:rPr>
              <w:t>3.能对基层常见急危病人进行初步判断、处理和正确转诊。</w:t>
            </w:r>
          </w:p>
          <w:p>
            <w:pPr>
              <w:spacing w:line="360" w:lineRule="auto"/>
              <w:jc w:val="left"/>
              <w:outlineLvl w:val="0"/>
              <w:rPr>
                <w:rFonts w:ascii="宋体" w:hAnsi="宋体"/>
                <w:szCs w:val="21"/>
              </w:rPr>
            </w:pPr>
            <w:r>
              <w:rPr>
                <w:rFonts w:hint="eastAsia" w:ascii="宋体" w:hAnsi="宋体"/>
                <w:szCs w:val="21"/>
              </w:rPr>
              <w:t>4.能实施基本公共卫生服务，能开展卫生适宜技术服务。</w:t>
            </w:r>
          </w:p>
        </w:tc>
        <w:tc>
          <w:tcPr>
            <w:tcW w:w="2233" w:type="dxa"/>
          </w:tcPr>
          <w:p>
            <w:pPr>
              <w:spacing w:line="360" w:lineRule="auto"/>
              <w:jc w:val="left"/>
              <w:outlineLvl w:val="0"/>
              <w:rPr>
                <w:rFonts w:ascii="宋体" w:hAnsi="宋体"/>
                <w:szCs w:val="21"/>
              </w:rPr>
            </w:pPr>
            <w:r>
              <w:rPr>
                <w:rFonts w:hint="eastAsia" w:ascii="宋体" w:hAnsi="宋体"/>
                <w:szCs w:val="21"/>
              </w:rPr>
              <w:t>健康管理师三级：</w:t>
            </w:r>
          </w:p>
          <w:p>
            <w:pPr>
              <w:spacing w:line="360" w:lineRule="auto"/>
              <w:jc w:val="left"/>
              <w:outlineLvl w:val="0"/>
              <w:rPr>
                <w:rFonts w:ascii="宋体" w:hAnsi="宋体"/>
                <w:szCs w:val="21"/>
              </w:rPr>
            </w:pPr>
            <w:r>
              <w:rPr>
                <w:rFonts w:hint="eastAsia" w:ascii="宋体" w:hAnsi="宋体"/>
                <w:szCs w:val="21"/>
              </w:rPr>
              <w:t>能对病人和公众进行健康监测、评估和健康咨询、指导以及健康干预，维护健康。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pPr>
              <w:spacing w:line="360" w:lineRule="auto"/>
              <w:jc w:val="left"/>
              <w:outlineLvl w:val="0"/>
              <w:rPr>
                <w:rFonts w:ascii="宋体" w:hAnsi="宋体"/>
                <w:szCs w:val="21"/>
              </w:rPr>
            </w:pPr>
          </w:p>
        </w:tc>
        <w:tc>
          <w:tcPr>
            <w:tcW w:w="1701" w:type="dxa"/>
            <w:vMerge w:val="continue"/>
          </w:tcPr>
          <w:p>
            <w:pPr>
              <w:spacing w:line="360" w:lineRule="auto"/>
              <w:jc w:val="left"/>
              <w:outlineLvl w:val="0"/>
              <w:rPr>
                <w:rFonts w:ascii="宋体" w:hAnsi="宋体"/>
                <w:szCs w:val="21"/>
              </w:rPr>
            </w:pPr>
          </w:p>
        </w:tc>
        <w:tc>
          <w:tcPr>
            <w:tcW w:w="1985" w:type="dxa"/>
            <w:vMerge w:val="continue"/>
          </w:tcPr>
          <w:p>
            <w:pPr>
              <w:spacing w:line="360" w:lineRule="auto"/>
              <w:jc w:val="left"/>
              <w:outlineLvl w:val="0"/>
              <w:rPr>
                <w:rFonts w:ascii="宋体" w:hAnsi="宋体"/>
                <w:szCs w:val="21"/>
              </w:rPr>
            </w:pPr>
          </w:p>
        </w:tc>
        <w:tc>
          <w:tcPr>
            <w:tcW w:w="2126" w:type="dxa"/>
            <w:vMerge w:val="continue"/>
          </w:tcPr>
          <w:p>
            <w:pPr>
              <w:spacing w:line="360" w:lineRule="auto"/>
              <w:jc w:val="left"/>
              <w:outlineLvl w:val="0"/>
              <w:rPr>
                <w:rFonts w:ascii="宋体" w:hAnsi="宋体"/>
                <w:szCs w:val="21"/>
              </w:rPr>
            </w:pPr>
          </w:p>
        </w:tc>
        <w:tc>
          <w:tcPr>
            <w:tcW w:w="2233" w:type="dxa"/>
          </w:tcPr>
          <w:p>
            <w:pPr>
              <w:spacing w:line="360" w:lineRule="auto"/>
              <w:jc w:val="left"/>
              <w:outlineLvl w:val="0"/>
              <w:rPr>
                <w:rFonts w:ascii="宋体" w:hAnsi="宋体"/>
                <w:szCs w:val="21"/>
              </w:rPr>
            </w:pPr>
            <w:r>
              <w:rPr>
                <w:rFonts w:hint="eastAsia" w:ascii="宋体" w:hAnsi="宋体"/>
                <w:szCs w:val="21"/>
              </w:rPr>
              <w:t>公共营养师三级:</w:t>
            </w:r>
          </w:p>
          <w:p>
            <w:pPr>
              <w:spacing w:line="360" w:lineRule="auto"/>
              <w:jc w:val="left"/>
              <w:outlineLvl w:val="0"/>
              <w:rPr>
                <w:rFonts w:ascii="宋体" w:hAnsi="宋体"/>
                <w:szCs w:val="21"/>
              </w:rPr>
            </w:pPr>
            <w:r>
              <w:rPr>
                <w:rFonts w:hint="eastAsia" w:ascii="宋体" w:hAnsi="宋体"/>
                <w:szCs w:val="21"/>
              </w:rPr>
              <w:t>能对病人进行膳食营养状况的评价与指导，促进健康。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pPr>
              <w:spacing w:line="360" w:lineRule="auto"/>
              <w:jc w:val="left"/>
              <w:outlineLvl w:val="0"/>
              <w:rPr>
                <w:rFonts w:ascii="宋体" w:hAnsi="宋体"/>
                <w:szCs w:val="21"/>
              </w:rPr>
            </w:pPr>
          </w:p>
        </w:tc>
        <w:tc>
          <w:tcPr>
            <w:tcW w:w="1701" w:type="dxa"/>
            <w:vMerge w:val="continue"/>
          </w:tcPr>
          <w:p>
            <w:pPr>
              <w:spacing w:line="360" w:lineRule="auto"/>
              <w:jc w:val="left"/>
              <w:outlineLvl w:val="0"/>
              <w:rPr>
                <w:rFonts w:ascii="宋体" w:hAnsi="宋体"/>
                <w:szCs w:val="21"/>
              </w:rPr>
            </w:pPr>
          </w:p>
        </w:tc>
        <w:tc>
          <w:tcPr>
            <w:tcW w:w="1985" w:type="dxa"/>
            <w:vMerge w:val="continue"/>
          </w:tcPr>
          <w:p>
            <w:pPr>
              <w:spacing w:line="360" w:lineRule="auto"/>
              <w:jc w:val="left"/>
              <w:outlineLvl w:val="0"/>
              <w:rPr>
                <w:rFonts w:ascii="宋体" w:hAnsi="宋体"/>
                <w:szCs w:val="21"/>
              </w:rPr>
            </w:pPr>
          </w:p>
        </w:tc>
        <w:tc>
          <w:tcPr>
            <w:tcW w:w="2126" w:type="dxa"/>
            <w:vMerge w:val="continue"/>
          </w:tcPr>
          <w:p>
            <w:pPr>
              <w:spacing w:line="360" w:lineRule="auto"/>
              <w:jc w:val="left"/>
              <w:outlineLvl w:val="0"/>
              <w:rPr>
                <w:rFonts w:ascii="宋体" w:hAnsi="宋体"/>
                <w:szCs w:val="21"/>
              </w:rPr>
            </w:pPr>
          </w:p>
        </w:tc>
        <w:tc>
          <w:tcPr>
            <w:tcW w:w="2233" w:type="dxa"/>
          </w:tcPr>
          <w:p>
            <w:pPr>
              <w:spacing w:line="360" w:lineRule="auto"/>
              <w:jc w:val="left"/>
              <w:outlineLvl w:val="0"/>
              <w:rPr>
                <w:rFonts w:ascii="宋体" w:hAnsi="宋体"/>
                <w:szCs w:val="21"/>
              </w:rPr>
            </w:pPr>
            <w:r>
              <w:rPr>
                <w:rFonts w:hint="eastAsia" w:ascii="宋体" w:hAnsi="宋体"/>
                <w:szCs w:val="21"/>
              </w:rPr>
              <w:t>心理咨询师三级:</w:t>
            </w:r>
          </w:p>
          <w:p>
            <w:pPr>
              <w:spacing w:line="360" w:lineRule="auto"/>
              <w:jc w:val="left"/>
              <w:outlineLvl w:val="0"/>
              <w:rPr>
                <w:rFonts w:ascii="宋体" w:hAnsi="宋体"/>
                <w:szCs w:val="21"/>
              </w:rPr>
            </w:pPr>
            <w:r>
              <w:rPr>
                <w:rFonts w:hint="eastAsia" w:ascii="宋体" w:hAnsi="宋体"/>
                <w:szCs w:val="21"/>
              </w:rPr>
              <w:t>能运用心理学专业知识，遵循心理学原则，通过心理咨询的技术与方法，帮助病人和公众解除心理问题。</w:t>
            </w:r>
          </w:p>
        </w:tc>
      </w:tr>
    </w:tbl>
    <w:p>
      <w:pPr>
        <w:spacing w:line="360" w:lineRule="auto"/>
        <w:rPr>
          <w:rFonts w:hint="eastAsia" w:ascii="Times New Roman" w:hAnsi="Times New Roman"/>
          <w:kern w:val="0"/>
          <w:sz w:val="24"/>
          <w:szCs w:val="24"/>
        </w:rPr>
      </w:pPr>
    </w:p>
    <w:p>
      <w:pPr>
        <w:widowControl w:val="0"/>
        <w:spacing w:line="360" w:lineRule="auto"/>
        <w:ind w:firstLine="482" w:firstLineChars="200"/>
        <w:jc w:val="both"/>
        <w:outlineLvl w:val="0"/>
        <w:rPr>
          <w:rFonts w:hint="eastAsia" w:ascii="宋体" w:hAnsi="宋体" w:eastAsia="宋体" w:cs="华文仿宋"/>
          <w:b/>
          <w:kern w:val="2"/>
          <w:sz w:val="24"/>
          <w:szCs w:val="24"/>
          <w:lang w:val="en-US" w:eastAsia="zh-CN" w:bidi="ar-SA"/>
        </w:rPr>
      </w:pPr>
      <w:bookmarkStart w:id="9" w:name="_Toc50581787"/>
      <w:r>
        <w:rPr>
          <w:rFonts w:hint="eastAsia" w:ascii="宋体" w:hAnsi="宋体" w:eastAsia="宋体" w:cs="华文仿宋"/>
          <w:b/>
          <w:kern w:val="2"/>
          <w:sz w:val="24"/>
          <w:szCs w:val="24"/>
          <w:lang w:val="en-US" w:eastAsia="zh-CN" w:bidi="ar-SA"/>
        </w:rPr>
        <w:t>五、培养目标与培养规格</w:t>
      </w:r>
      <w:bookmarkEnd w:id="9"/>
    </w:p>
    <w:p>
      <w:pPr>
        <w:spacing w:line="360" w:lineRule="auto"/>
        <w:ind w:firstLine="482" w:firstLineChars="200"/>
        <w:jc w:val="left"/>
        <w:outlineLvl w:val="0"/>
        <w:rPr>
          <w:rFonts w:ascii="宋体" w:hAnsi="宋体"/>
          <w:b/>
          <w:sz w:val="24"/>
          <w:szCs w:val="24"/>
        </w:rPr>
      </w:pPr>
      <w:r>
        <w:rPr>
          <w:rFonts w:hint="eastAsia" w:ascii="宋体" w:hAnsi="宋体"/>
          <w:b/>
          <w:bCs/>
          <w:sz w:val="24"/>
          <w:szCs w:val="24"/>
        </w:rPr>
        <w:t>（一）</w:t>
      </w:r>
      <w:r>
        <w:rPr>
          <w:rFonts w:hint="eastAsia" w:ascii="宋体" w:hAnsi="宋体"/>
          <w:b/>
          <w:sz w:val="24"/>
          <w:szCs w:val="24"/>
        </w:rPr>
        <w:t>培养目标</w:t>
      </w:r>
    </w:p>
    <w:p>
      <w:pPr>
        <w:spacing w:line="360" w:lineRule="auto"/>
        <w:ind w:firstLine="480" w:firstLineChars="200"/>
        <w:jc w:val="left"/>
        <w:outlineLvl w:val="0"/>
        <w:rPr>
          <w:rFonts w:ascii="宋体" w:hAnsi="宋体"/>
          <w:sz w:val="24"/>
          <w:szCs w:val="24"/>
        </w:rPr>
      </w:pPr>
      <w:r>
        <w:rPr>
          <w:rFonts w:hint="eastAsia" w:ascii="宋体" w:hAnsi="宋体"/>
          <w:sz w:val="24"/>
          <w:szCs w:val="24"/>
        </w:rPr>
        <w:t xml:space="preserve">本专业人才培养，以习近平新时代中国特色社会主义思想为指导，以立德树人为根本任务，以 “十大育人体系”为基本架构，突出临床医疗和基本公共卫生服务的职业教育特点，深化“三全育人”、“三教”改革，培养理想信念坚定，德、智、体、美、劳全面发展，具有一定的科学文化水平,良好的人文素养、职业道德、创新意识，尊重服务对象、尊重临床客观事实和医学规律、敬佑生命、救死扶伤、甘于奉献、大爱无疆、医者仁心的医者精神，精益求精的工匠精神，掌握本专业知识和技能，具有较强的就业能力、终生学习能力和可持续发展能力，能从事居民基本医疗和基本公共卫生服务等工作的高素质实用型医学专门人才。 </w:t>
      </w:r>
    </w:p>
    <w:p>
      <w:pPr>
        <w:spacing w:line="360" w:lineRule="auto"/>
        <w:ind w:firstLine="482" w:firstLineChars="200"/>
        <w:jc w:val="left"/>
        <w:outlineLvl w:val="0"/>
        <w:rPr>
          <w:rFonts w:ascii="宋体" w:hAnsi="宋体"/>
          <w:b/>
          <w:bCs/>
          <w:sz w:val="24"/>
          <w:szCs w:val="24"/>
        </w:rPr>
      </w:pPr>
      <w:r>
        <w:rPr>
          <w:rFonts w:hint="eastAsia" w:ascii="宋体" w:hAnsi="宋体"/>
          <w:b/>
          <w:bCs/>
          <w:sz w:val="24"/>
          <w:szCs w:val="24"/>
        </w:rPr>
        <w:t>（二）培养规格</w:t>
      </w:r>
    </w:p>
    <w:p>
      <w:pPr>
        <w:spacing w:line="360" w:lineRule="auto"/>
        <w:ind w:firstLine="482" w:firstLineChars="200"/>
        <w:jc w:val="left"/>
        <w:outlineLvl w:val="1"/>
        <w:rPr>
          <w:rFonts w:ascii="宋体" w:hAnsi="宋体"/>
          <w:b/>
          <w:bCs/>
          <w:sz w:val="24"/>
          <w:szCs w:val="24"/>
        </w:rPr>
      </w:pPr>
      <w:r>
        <w:rPr>
          <w:rFonts w:hint="eastAsia" w:ascii="宋体" w:hAnsi="宋体"/>
          <w:b/>
          <w:bCs/>
          <w:sz w:val="24"/>
          <w:szCs w:val="24"/>
        </w:rPr>
        <w:t>1.素质要求</w:t>
      </w:r>
    </w:p>
    <w:p>
      <w:pPr>
        <w:spacing w:line="360" w:lineRule="auto"/>
        <w:ind w:firstLine="480" w:firstLineChars="200"/>
        <w:jc w:val="left"/>
        <w:outlineLvl w:val="1"/>
        <w:rPr>
          <w:rFonts w:ascii="宋体" w:hAnsi="宋体"/>
          <w:bCs/>
          <w:sz w:val="24"/>
          <w:szCs w:val="24"/>
        </w:rPr>
      </w:pPr>
      <w:r>
        <w:rPr>
          <w:rFonts w:hint="eastAsia" w:ascii="宋体" w:hAnsi="宋体"/>
          <w:bCs/>
          <w:sz w:val="24"/>
          <w:szCs w:val="24"/>
        </w:rPr>
        <w:t>（1）思想道德素质</w:t>
      </w:r>
    </w:p>
    <w:p>
      <w:pPr>
        <w:spacing w:line="360" w:lineRule="auto"/>
        <w:ind w:firstLine="480" w:firstLineChars="200"/>
        <w:jc w:val="left"/>
        <w:rPr>
          <w:rFonts w:ascii="宋体" w:hAnsi="宋体"/>
          <w:sz w:val="24"/>
          <w:szCs w:val="24"/>
        </w:rPr>
      </w:pPr>
      <w:bookmarkStart w:id="10" w:name="bookmark26"/>
      <w:bookmarkEnd w:id="10"/>
      <w:r>
        <w:rPr>
          <w:rFonts w:hint="eastAsia" w:ascii="宋体" w:hAnsi="宋体"/>
          <w:sz w:val="24"/>
          <w:szCs w:val="24"/>
        </w:rPr>
        <w:t>1)坚定拥护中国共产党领导和我国社会主义制度，在习近平新时代中国特色社会主义思想指引下，践行社会主义核心价值观，具有深厚的爱国情感和中华民族自豪感。</w:t>
      </w:r>
    </w:p>
    <w:p>
      <w:pPr>
        <w:spacing w:line="360" w:lineRule="auto"/>
        <w:ind w:firstLine="480" w:firstLineChars="200"/>
        <w:jc w:val="left"/>
        <w:rPr>
          <w:rFonts w:ascii="宋体" w:hAnsi="宋体"/>
          <w:sz w:val="24"/>
          <w:szCs w:val="24"/>
        </w:rPr>
      </w:pPr>
      <w:r>
        <w:rPr>
          <w:rFonts w:hint="eastAsia" w:ascii="宋体" w:hAnsi="宋体"/>
          <w:sz w:val="24"/>
          <w:szCs w:val="24"/>
        </w:rPr>
        <w:t>2)树立科学的世界观、人生观和正确的职业价值观，具有爱岗敬业、求真务实、勇于创新、尊重服务对象、尊重生命、追求医疗技术卓越、防病治病、救死扶伤、医者仁心的医者精神，始终把民众的生命安全和身体健康放在首位。</w:t>
      </w:r>
    </w:p>
    <w:p>
      <w:pPr>
        <w:spacing w:line="360" w:lineRule="auto"/>
        <w:ind w:firstLine="480" w:firstLineChars="200"/>
        <w:jc w:val="left"/>
        <w:rPr>
          <w:rFonts w:ascii="宋体" w:hAnsi="宋体"/>
          <w:sz w:val="24"/>
          <w:szCs w:val="24"/>
        </w:rPr>
      </w:pPr>
      <w:bookmarkStart w:id="11" w:name="bookmark28"/>
      <w:bookmarkEnd w:id="11"/>
      <w:r>
        <w:rPr>
          <w:rFonts w:hint="eastAsia" w:ascii="宋体" w:hAnsi="宋体"/>
          <w:sz w:val="24"/>
          <w:szCs w:val="24"/>
        </w:rPr>
        <w:t>3)</w:t>
      </w:r>
      <w:r>
        <w:rPr>
          <w:rFonts w:hint="eastAsia" w:ascii="宋体" w:hAnsi="宋体"/>
          <w:sz w:val="24"/>
          <w:szCs w:val="24"/>
          <w:lang w:val="zh-CN"/>
        </w:rPr>
        <w:t>崇</w:t>
      </w:r>
      <w:r>
        <w:rPr>
          <w:rFonts w:hint="eastAsia" w:ascii="宋体" w:hAnsi="宋体"/>
          <w:sz w:val="24"/>
          <w:szCs w:val="24"/>
        </w:rPr>
        <w:t xml:space="preserve">尚宪法、遵纪守法、依法行医、崇德向善、诚实守信、热爱劳动，履行道德准则和行为规范，具有社会责任感和社会参与意识。 </w:t>
      </w:r>
    </w:p>
    <w:p>
      <w:pPr>
        <w:spacing w:line="360" w:lineRule="auto"/>
        <w:ind w:firstLine="480" w:firstLineChars="200"/>
        <w:jc w:val="left"/>
        <w:rPr>
          <w:rFonts w:ascii="宋体" w:hAnsi="宋体"/>
          <w:sz w:val="24"/>
          <w:szCs w:val="24"/>
        </w:rPr>
      </w:pPr>
      <w:bookmarkStart w:id="12" w:name="bookmark29"/>
      <w:bookmarkEnd w:id="12"/>
      <w:r>
        <w:rPr>
          <w:rFonts w:hint="eastAsia" w:ascii="宋体" w:hAnsi="宋体"/>
          <w:sz w:val="24"/>
          <w:szCs w:val="24"/>
        </w:rPr>
        <w:t>4)具有质量意识、环保意识、安全意识、信息素养、工匠精神、创新思维。</w:t>
      </w:r>
    </w:p>
    <w:p>
      <w:pPr>
        <w:spacing w:line="360" w:lineRule="auto"/>
        <w:ind w:firstLine="480" w:firstLineChars="200"/>
        <w:jc w:val="left"/>
        <w:rPr>
          <w:rFonts w:ascii="宋体" w:hAnsi="宋体"/>
          <w:sz w:val="24"/>
          <w:szCs w:val="24"/>
        </w:rPr>
      </w:pPr>
      <w:bookmarkStart w:id="13" w:name="bookmark30"/>
      <w:bookmarkEnd w:id="13"/>
      <w:r>
        <w:rPr>
          <w:rFonts w:hint="eastAsia" w:ascii="宋体" w:hAnsi="宋体"/>
          <w:sz w:val="24"/>
          <w:szCs w:val="24"/>
        </w:rPr>
        <w:t>5)</w:t>
      </w:r>
      <w:r>
        <w:rPr>
          <w:rFonts w:hint="eastAsia" w:ascii="宋体" w:hAnsi="宋体"/>
          <w:sz w:val="24"/>
          <w:szCs w:val="24"/>
          <w:lang w:val="zh-CN"/>
        </w:rPr>
        <w:t>勇</w:t>
      </w:r>
      <w:r>
        <w:rPr>
          <w:rFonts w:hint="eastAsia" w:ascii="宋体" w:hAnsi="宋体"/>
          <w:sz w:val="24"/>
          <w:szCs w:val="24"/>
        </w:rPr>
        <w:t>于奋斗、乐观向上，具有自我管理能力、职业生涯规划的意识，有较强的集体意识和团队合作精神。</w:t>
      </w:r>
    </w:p>
    <w:p>
      <w:pPr>
        <w:spacing w:line="360" w:lineRule="auto"/>
        <w:ind w:firstLine="480" w:firstLineChars="200"/>
        <w:jc w:val="left"/>
        <w:rPr>
          <w:rFonts w:ascii="宋体" w:hAnsi="宋体"/>
          <w:sz w:val="24"/>
          <w:szCs w:val="24"/>
        </w:rPr>
      </w:pPr>
      <w:r>
        <w:rPr>
          <w:rFonts w:hint="eastAsia" w:ascii="宋体" w:hAnsi="宋体"/>
          <w:sz w:val="24"/>
          <w:szCs w:val="24"/>
        </w:rPr>
        <w:t>（2）身体心理素质</w:t>
      </w:r>
    </w:p>
    <w:p>
      <w:pPr>
        <w:spacing w:line="360" w:lineRule="auto"/>
        <w:ind w:firstLine="480" w:firstLineChars="200"/>
        <w:jc w:val="left"/>
        <w:rPr>
          <w:rFonts w:ascii="宋体" w:hAnsi="宋体"/>
          <w:sz w:val="24"/>
          <w:szCs w:val="24"/>
        </w:rPr>
      </w:pPr>
      <w:bookmarkStart w:id="14" w:name="bookmark31"/>
      <w:bookmarkEnd w:id="14"/>
      <w:r>
        <w:rPr>
          <w:rFonts w:hint="eastAsia" w:ascii="宋体" w:hAnsi="宋体"/>
          <w:sz w:val="24"/>
          <w:szCs w:val="24"/>
        </w:rPr>
        <w:t>具有健康的体魄、心理和健全的人格，掌握基本运动知识和1～2项运动技能，达到国家规定的体育锻炼标准，养成良好的健身与卫生习惯，以及良好的行为习惯。</w:t>
      </w:r>
    </w:p>
    <w:p>
      <w:pPr>
        <w:spacing w:line="360" w:lineRule="auto"/>
        <w:ind w:firstLine="480" w:firstLineChars="200"/>
        <w:jc w:val="left"/>
        <w:rPr>
          <w:rFonts w:ascii="宋体" w:hAnsi="宋体"/>
          <w:sz w:val="24"/>
          <w:szCs w:val="24"/>
        </w:rPr>
      </w:pPr>
      <w:r>
        <w:rPr>
          <w:rFonts w:hint="eastAsia" w:ascii="宋体" w:hAnsi="宋体"/>
          <w:sz w:val="24"/>
          <w:szCs w:val="24"/>
        </w:rPr>
        <w:t>（3）人文素养</w:t>
      </w:r>
    </w:p>
    <w:p>
      <w:pPr>
        <w:spacing w:line="360" w:lineRule="auto"/>
        <w:ind w:firstLine="480" w:firstLineChars="200"/>
        <w:jc w:val="left"/>
        <w:rPr>
          <w:rFonts w:ascii="宋体" w:hAnsi="宋体"/>
          <w:sz w:val="24"/>
          <w:szCs w:val="24"/>
        </w:rPr>
      </w:pPr>
      <w:r>
        <w:rPr>
          <w:rFonts w:hint="eastAsia" w:ascii="宋体" w:hAnsi="宋体"/>
          <w:sz w:val="24"/>
          <w:szCs w:val="24"/>
        </w:rPr>
        <w:t>掌握基本的礼仪规范和人文科学知识，具有发现美、欣赏美的能力，能够形成1～2项艺术特长或爱好。</w:t>
      </w:r>
    </w:p>
    <w:p>
      <w:pPr>
        <w:spacing w:line="360" w:lineRule="auto"/>
        <w:ind w:firstLine="482" w:firstLineChars="200"/>
        <w:jc w:val="left"/>
        <w:outlineLvl w:val="1"/>
        <w:rPr>
          <w:rFonts w:ascii="宋体" w:hAnsi="宋体"/>
          <w:b/>
          <w:bCs/>
          <w:sz w:val="24"/>
          <w:szCs w:val="24"/>
        </w:rPr>
      </w:pPr>
      <w:bookmarkStart w:id="15" w:name="bookmark32"/>
      <w:bookmarkEnd w:id="15"/>
      <w:r>
        <w:rPr>
          <w:rFonts w:hint="eastAsia" w:ascii="宋体" w:hAnsi="宋体"/>
          <w:b/>
          <w:bCs/>
          <w:sz w:val="24"/>
          <w:szCs w:val="24"/>
        </w:rPr>
        <w:t>2.知识要求</w:t>
      </w:r>
    </w:p>
    <w:p>
      <w:pPr>
        <w:spacing w:line="360" w:lineRule="auto"/>
        <w:ind w:firstLine="480" w:firstLineChars="200"/>
        <w:jc w:val="left"/>
        <w:rPr>
          <w:rFonts w:ascii="宋体" w:hAnsi="宋体"/>
          <w:sz w:val="24"/>
          <w:szCs w:val="24"/>
        </w:rPr>
      </w:pPr>
      <w:bookmarkStart w:id="16" w:name="bookmark33"/>
      <w:bookmarkEnd w:id="16"/>
      <w:r>
        <w:rPr>
          <w:rFonts w:hint="eastAsia" w:ascii="宋体" w:hAnsi="宋体"/>
          <w:sz w:val="24"/>
          <w:szCs w:val="24"/>
        </w:rPr>
        <w:t>(1)掌握必备的思想政治理论、科学文化基础知识和中华优秀传统文化知识，并能用于指导医学学习与实践。</w:t>
      </w:r>
    </w:p>
    <w:p>
      <w:pPr>
        <w:spacing w:line="360" w:lineRule="auto"/>
        <w:ind w:firstLine="480" w:firstLineChars="200"/>
        <w:jc w:val="left"/>
        <w:rPr>
          <w:rFonts w:ascii="宋体" w:hAnsi="宋体"/>
          <w:sz w:val="24"/>
          <w:szCs w:val="24"/>
        </w:rPr>
      </w:pPr>
      <w:r>
        <w:rPr>
          <w:rFonts w:hint="eastAsia" w:ascii="宋体" w:hAnsi="宋体"/>
          <w:sz w:val="24"/>
          <w:szCs w:val="24"/>
        </w:rPr>
        <w:t>(2)熟悉与本专业相关的方针政策、法律法规以及环境保护、安全消防等知识，理解全科医学和社区卫生政策。</w:t>
      </w:r>
    </w:p>
    <w:p>
      <w:pPr>
        <w:spacing w:line="360" w:lineRule="auto"/>
        <w:ind w:firstLine="480" w:firstLineChars="200"/>
        <w:jc w:val="left"/>
        <w:rPr>
          <w:rFonts w:ascii="宋体" w:hAnsi="宋体"/>
          <w:sz w:val="24"/>
          <w:szCs w:val="24"/>
        </w:rPr>
      </w:pPr>
      <w:r>
        <w:rPr>
          <w:rFonts w:hint="eastAsia" w:ascii="宋体" w:hAnsi="宋体"/>
          <w:sz w:val="24"/>
          <w:szCs w:val="24"/>
        </w:rPr>
        <w:t>(3)掌握基础医学、临床医学、急救医学的基本知识、基本理论和临床思维分析方法。</w:t>
      </w:r>
    </w:p>
    <w:p>
      <w:pPr>
        <w:spacing w:line="360" w:lineRule="auto"/>
        <w:ind w:firstLine="480" w:firstLineChars="200"/>
        <w:jc w:val="left"/>
        <w:rPr>
          <w:rFonts w:ascii="宋体" w:hAnsi="宋体"/>
          <w:sz w:val="24"/>
          <w:szCs w:val="24"/>
        </w:rPr>
      </w:pPr>
      <w:r>
        <w:rPr>
          <w:rFonts w:hint="eastAsia" w:ascii="宋体" w:hAnsi="宋体"/>
          <w:sz w:val="24"/>
          <w:szCs w:val="24"/>
        </w:rPr>
        <w:t>(4)掌握临床流行病学的有关知识和相关科学实验方法，掌握传染病的发生、发展、传播规律及常见传染病的防治原则，掌握预防医学和社区健康教育、疾病预防与筛查的原则，掌握缓解与改善疾患和残障、康复以及临床关怀的有关知识。</w:t>
      </w:r>
    </w:p>
    <w:p>
      <w:pPr>
        <w:spacing w:line="360" w:lineRule="auto"/>
        <w:ind w:firstLine="480" w:firstLineChars="200"/>
        <w:jc w:val="left"/>
        <w:rPr>
          <w:rFonts w:ascii="宋体" w:hAnsi="宋体"/>
          <w:sz w:val="24"/>
          <w:szCs w:val="24"/>
        </w:rPr>
      </w:pPr>
      <w:r>
        <w:rPr>
          <w:rFonts w:hint="eastAsia" w:ascii="宋体" w:hAnsi="宋体"/>
          <w:sz w:val="24"/>
          <w:szCs w:val="24"/>
        </w:rPr>
        <w:t>(5)掌握基层医疗机构临床常用药物的药理知识和临床合理用药原则。</w:t>
      </w:r>
    </w:p>
    <w:p>
      <w:pPr>
        <w:spacing w:line="360" w:lineRule="auto"/>
        <w:ind w:firstLine="480" w:firstLineChars="200"/>
        <w:jc w:val="left"/>
        <w:rPr>
          <w:rFonts w:ascii="宋体" w:hAnsi="宋体"/>
          <w:sz w:val="24"/>
          <w:szCs w:val="24"/>
        </w:rPr>
      </w:pPr>
      <w:r>
        <w:rPr>
          <w:rFonts w:hint="eastAsia" w:ascii="宋体" w:hAnsi="宋体"/>
          <w:sz w:val="24"/>
          <w:szCs w:val="24"/>
        </w:rPr>
        <w:t>(6)掌握基本公共卫生服务的基本知识。</w:t>
      </w:r>
    </w:p>
    <w:p>
      <w:pPr>
        <w:spacing w:line="360" w:lineRule="auto"/>
        <w:ind w:firstLine="480" w:firstLineChars="200"/>
        <w:jc w:val="left"/>
        <w:rPr>
          <w:rFonts w:ascii="宋体" w:hAnsi="宋体"/>
          <w:sz w:val="24"/>
          <w:szCs w:val="24"/>
        </w:rPr>
      </w:pPr>
      <w:r>
        <w:rPr>
          <w:rFonts w:hint="eastAsia" w:ascii="宋体" w:hAnsi="宋体"/>
          <w:sz w:val="24"/>
          <w:szCs w:val="24"/>
        </w:rPr>
        <w:t>(7)熟悉全科医学基本知识、全科医疗的基本原则和服务模式、全科医师的临床诊疗策略。</w:t>
      </w:r>
    </w:p>
    <w:p>
      <w:pPr>
        <w:spacing w:line="360" w:lineRule="auto"/>
        <w:ind w:firstLine="480" w:firstLineChars="200"/>
        <w:jc w:val="left"/>
        <w:rPr>
          <w:rFonts w:ascii="宋体" w:hAnsi="宋体"/>
          <w:sz w:val="24"/>
          <w:szCs w:val="24"/>
        </w:rPr>
      </w:pPr>
      <w:r>
        <w:rPr>
          <w:rFonts w:hint="eastAsia" w:ascii="宋体" w:hAnsi="宋体"/>
          <w:sz w:val="24"/>
          <w:szCs w:val="24"/>
        </w:rPr>
        <w:t>(8)熟悉与基层医疗卫生工作相关的医学心理学和中国传统医学的基本特点和辩证论治原则。</w:t>
      </w:r>
    </w:p>
    <w:p>
      <w:pPr>
        <w:spacing w:line="360" w:lineRule="auto"/>
        <w:ind w:firstLine="482" w:firstLineChars="200"/>
        <w:jc w:val="left"/>
        <w:outlineLvl w:val="1"/>
        <w:rPr>
          <w:rFonts w:ascii="宋体" w:hAnsi="宋体"/>
          <w:b/>
          <w:bCs/>
          <w:sz w:val="24"/>
          <w:szCs w:val="24"/>
        </w:rPr>
      </w:pPr>
      <w:bookmarkStart w:id="17" w:name="bookmark41"/>
      <w:bookmarkEnd w:id="17"/>
      <w:r>
        <w:rPr>
          <w:rFonts w:hint="eastAsia" w:ascii="宋体" w:hAnsi="宋体"/>
          <w:b/>
          <w:bCs/>
          <w:sz w:val="24"/>
          <w:szCs w:val="24"/>
        </w:rPr>
        <w:t>3.能力要求</w:t>
      </w:r>
    </w:p>
    <w:p>
      <w:pPr>
        <w:spacing w:line="360" w:lineRule="auto"/>
        <w:ind w:firstLine="480" w:firstLineChars="200"/>
        <w:jc w:val="left"/>
        <w:outlineLvl w:val="1"/>
        <w:rPr>
          <w:rFonts w:ascii="宋体" w:hAnsi="宋体"/>
          <w:bCs/>
          <w:sz w:val="24"/>
          <w:szCs w:val="24"/>
        </w:rPr>
      </w:pPr>
      <w:r>
        <w:rPr>
          <w:rFonts w:hint="eastAsia" w:ascii="宋体" w:hAnsi="宋体"/>
          <w:bCs/>
          <w:sz w:val="24"/>
          <w:szCs w:val="24"/>
        </w:rPr>
        <w:t>（1）岗位基本技能要求</w:t>
      </w:r>
    </w:p>
    <w:p>
      <w:pPr>
        <w:spacing w:line="360" w:lineRule="auto"/>
        <w:ind w:firstLine="480" w:firstLineChars="200"/>
        <w:jc w:val="left"/>
        <w:rPr>
          <w:rFonts w:ascii="宋体" w:hAnsi="宋体"/>
          <w:sz w:val="24"/>
          <w:szCs w:val="24"/>
        </w:rPr>
      </w:pPr>
      <w:r>
        <w:rPr>
          <w:rFonts w:hint="eastAsia" w:ascii="宋体" w:hAnsi="宋体"/>
          <w:sz w:val="24"/>
          <w:szCs w:val="24"/>
        </w:rPr>
        <w:t>1)具有自主学习、探究学习、终生学习的能力。</w:t>
      </w:r>
    </w:p>
    <w:p>
      <w:pPr>
        <w:spacing w:line="360" w:lineRule="auto"/>
        <w:ind w:firstLine="480" w:firstLineChars="200"/>
        <w:jc w:val="left"/>
        <w:outlineLvl w:val="1"/>
        <w:rPr>
          <w:rFonts w:ascii="宋体" w:hAnsi="宋体"/>
          <w:sz w:val="24"/>
          <w:szCs w:val="24"/>
        </w:rPr>
      </w:pPr>
      <w:bookmarkStart w:id="18" w:name="bookmark43"/>
      <w:bookmarkEnd w:id="18"/>
      <w:r>
        <w:rPr>
          <w:rFonts w:hint="eastAsia" w:ascii="宋体" w:hAnsi="宋体"/>
          <w:sz w:val="24"/>
          <w:szCs w:val="24"/>
        </w:rPr>
        <w:t>2)具有良好的语言文字表达、写作能力和沟通能力、人文关怀能力。</w:t>
      </w:r>
    </w:p>
    <w:p>
      <w:pPr>
        <w:spacing w:line="360" w:lineRule="auto"/>
        <w:ind w:firstLine="480" w:firstLineChars="200"/>
        <w:jc w:val="left"/>
        <w:outlineLvl w:val="1"/>
        <w:rPr>
          <w:rFonts w:ascii="宋体" w:hAnsi="宋体"/>
          <w:sz w:val="24"/>
          <w:szCs w:val="24"/>
        </w:rPr>
      </w:pPr>
      <w:r>
        <w:rPr>
          <w:rFonts w:hint="eastAsia" w:ascii="宋体" w:hAnsi="宋体"/>
          <w:sz w:val="24"/>
          <w:szCs w:val="24"/>
        </w:rPr>
        <w:t>3)具有社会适应能力、岗位适应能力和可持续发展能力。</w:t>
      </w:r>
    </w:p>
    <w:p>
      <w:pPr>
        <w:spacing w:line="360" w:lineRule="auto"/>
        <w:ind w:firstLine="480" w:firstLineChars="200"/>
        <w:jc w:val="left"/>
        <w:outlineLvl w:val="1"/>
        <w:rPr>
          <w:rFonts w:ascii="宋体" w:hAnsi="宋体"/>
          <w:sz w:val="24"/>
          <w:szCs w:val="24"/>
        </w:rPr>
      </w:pPr>
      <w:r>
        <w:rPr>
          <w:rFonts w:hint="eastAsia" w:ascii="宋体" w:hAnsi="宋体"/>
          <w:bCs/>
          <w:sz w:val="24"/>
          <w:szCs w:val="24"/>
        </w:rPr>
        <w:t>4)</w:t>
      </w:r>
      <w:r>
        <w:rPr>
          <w:rFonts w:hint="eastAsia" w:ascii="宋体" w:hAnsi="宋体"/>
          <w:sz w:val="24"/>
          <w:szCs w:val="24"/>
        </w:rPr>
        <w:t>具有较强的创新意识、创新能力和一定的批判性思维能力。</w:t>
      </w:r>
    </w:p>
    <w:p>
      <w:pPr>
        <w:spacing w:line="360" w:lineRule="auto"/>
        <w:ind w:firstLine="480" w:firstLineChars="200"/>
        <w:jc w:val="left"/>
        <w:outlineLvl w:val="1"/>
        <w:rPr>
          <w:rFonts w:ascii="宋体" w:hAnsi="宋体"/>
          <w:sz w:val="24"/>
          <w:szCs w:val="24"/>
        </w:rPr>
      </w:pPr>
      <w:r>
        <w:rPr>
          <w:rFonts w:hint="eastAsia" w:ascii="宋体" w:hAnsi="宋体"/>
          <w:bCs/>
          <w:sz w:val="24"/>
          <w:szCs w:val="24"/>
        </w:rPr>
        <w:t>5)</w:t>
      </w:r>
      <w:r>
        <w:rPr>
          <w:rFonts w:hint="eastAsia" w:ascii="宋体" w:hAnsi="宋体"/>
          <w:sz w:val="24"/>
          <w:szCs w:val="24"/>
        </w:rPr>
        <w:t>具有独立工作、分析问题和解决问题的临床思维能力。</w:t>
      </w:r>
    </w:p>
    <w:p>
      <w:pPr>
        <w:spacing w:line="360" w:lineRule="auto"/>
        <w:ind w:firstLine="480" w:firstLineChars="200"/>
        <w:jc w:val="left"/>
        <w:outlineLvl w:val="1"/>
        <w:rPr>
          <w:rFonts w:ascii="宋体" w:hAnsi="宋体"/>
          <w:bCs/>
          <w:sz w:val="24"/>
          <w:szCs w:val="24"/>
        </w:rPr>
      </w:pPr>
      <w:r>
        <w:rPr>
          <w:rFonts w:hint="eastAsia" w:ascii="宋体" w:hAnsi="宋体"/>
          <w:bCs/>
          <w:sz w:val="24"/>
          <w:szCs w:val="24"/>
        </w:rPr>
        <w:t>6)</w:t>
      </w:r>
      <w:r>
        <w:rPr>
          <w:rFonts w:hint="eastAsia" w:ascii="宋体" w:hAnsi="宋体"/>
          <w:sz w:val="24"/>
          <w:szCs w:val="24"/>
          <w:lang w:val="zh-CN"/>
        </w:rPr>
        <w:t>能</w:t>
      </w:r>
      <w:r>
        <w:rPr>
          <w:rFonts w:hint="eastAsia" w:ascii="宋体" w:hAnsi="宋体"/>
          <w:sz w:val="24"/>
          <w:szCs w:val="24"/>
        </w:rPr>
        <w:t>运用计算机信息技术辅助日常诊疗和基本公共卫生服务活动，提高工作效率。</w:t>
      </w:r>
    </w:p>
    <w:p>
      <w:pPr>
        <w:spacing w:line="360" w:lineRule="auto"/>
        <w:ind w:firstLine="480" w:firstLineChars="200"/>
        <w:jc w:val="left"/>
        <w:outlineLvl w:val="1"/>
        <w:rPr>
          <w:rFonts w:ascii="宋体" w:hAnsi="宋体"/>
          <w:bCs/>
          <w:sz w:val="24"/>
          <w:szCs w:val="24"/>
        </w:rPr>
      </w:pPr>
      <w:r>
        <w:rPr>
          <w:rFonts w:hint="eastAsia" w:ascii="宋体" w:hAnsi="宋体"/>
          <w:bCs/>
          <w:sz w:val="24"/>
          <w:szCs w:val="24"/>
        </w:rPr>
        <w:t>7)能应用信息资源和信息技术研究医学问题，了解医疗相关专业领域的最新前沿进展。</w:t>
      </w:r>
    </w:p>
    <w:p>
      <w:pPr>
        <w:spacing w:line="360" w:lineRule="auto"/>
        <w:ind w:firstLine="480" w:firstLineChars="200"/>
        <w:jc w:val="left"/>
        <w:outlineLvl w:val="1"/>
        <w:rPr>
          <w:rFonts w:ascii="宋体" w:hAnsi="宋体"/>
          <w:bCs/>
          <w:sz w:val="24"/>
          <w:szCs w:val="24"/>
        </w:rPr>
      </w:pPr>
      <w:r>
        <w:rPr>
          <w:rFonts w:hint="eastAsia" w:ascii="宋体" w:hAnsi="宋体"/>
          <w:bCs/>
          <w:sz w:val="24"/>
          <w:szCs w:val="24"/>
        </w:rPr>
        <w:t>（2）专业能力</w:t>
      </w:r>
    </w:p>
    <w:p>
      <w:pPr>
        <w:spacing w:line="360" w:lineRule="auto"/>
        <w:ind w:firstLine="480" w:firstLineChars="200"/>
        <w:jc w:val="left"/>
        <w:outlineLvl w:val="1"/>
        <w:rPr>
          <w:rFonts w:ascii="宋体" w:hAnsi="宋体"/>
          <w:sz w:val="24"/>
          <w:szCs w:val="24"/>
        </w:rPr>
      </w:pPr>
      <w:r>
        <w:rPr>
          <w:rFonts w:hint="eastAsia" w:ascii="宋体" w:hAnsi="宋体"/>
          <w:sz w:val="24"/>
          <w:szCs w:val="24"/>
        </w:rPr>
        <w:t>1)能对病人和公众进行健康生活方式、疾病预防等知识的宣教。</w:t>
      </w:r>
    </w:p>
    <w:p>
      <w:pPr>
        <w:spacing w:line="360" w:lineRule="auto"/>
        <w:ind w:firstLine="480" w:firstLineChars="200"/>
        <w:jc w:val="left"/>
        <w:rPr>
          <w:rFonts w:ascii="宋体" w:hAnsi="宋体"/>
          <w:sz w:val="24"/>
          <w:szCs w:val="24"/>
        </w:rPr>
      </w:pPr>
      <w:r>
        <w:rPr>
          <w:rFonts w:hint="eastAsia" w:ascii="宋体" w:hAnsi="宋体"/>
          <w:sz w:val="24"/>
          <w:szCs w:val="24"/>
        </w:rPr>
        <w:t>2)</w:t>
      </w:r>
      <w:r>
        <w:rPr>
          <w:rFonts w:hint="eastAsia" w:ascii="宋体" w:hAnsi="宋体"/>
          <w:sz w:val="24"/>
          <w:szCs w:val="24"/>
          <w:lang w:val="zh-CN"/>
        </w:rPr>
        <w:t>能</w:t>
      </w:r>
      <w:r>
        <w:rPr>
          <w:rFonts w:hint="eastAsia" w:ascii="宋体" w:hAnsi="宋体"/>
          <w:sz w:val="24"/>
          <w:szCs w:val="24"/>
        </w:rPr>
        <w:t>进行临床基本诊疗技术操作。</w:t>
      </w:r>
    </w:p>
    <w:p>
      <w:pPr>
        <w:spacing w:line="360" w:lineRule="auto"/>
        <w:ind w:firstLine="480" w:firstLineChars="200"/>
        <w:jc w:val="left"/>
        <w:rPr>
          <w:rFonts w:ascii="宋体" w:hAnsi="宋体"/>
          <w:sz w:val="24"/>
          <w:szCs w:val="24"/>
        </w:rPr>
      </w:pPr>
      <w:r>
        <w:rPr>
          <w:rFonts w:hint="eastAsia" w:ascii="宋体" w:hAnsi="宋体"/>
          <w:sz w:val="24"/>
          <w:szCs w:val="24"/>
        </w:rPr>
        <w:t>3)具有临床各科常见病、多发病的诊断和处理能力。</w:t>
      </w:r>
    </w:p>
    <w:p>
      <w:pPr>
        <w:spacing w:line="360" w:lineRule="auto"/>
        <w:ind w:firstLine="480" w:firstLineChars="200"/>
        <w:jc w:val="left"/>
        <w:rPr>
          <w:rFonts w:ascii="宋体" w:hAnsi="宋体"/>
          <w:sz w:val="24"/>
          <w:szCs w:val="24"/>
        </w:rPr>
      </w:pPr>
      <w:r>
        <w:rPr>
          <w:rFonts w:hint="eastAsia" w:ascii="宋体" w:hAnsi="宋体"/>
          <w:sz w:val="24"/>
          <w:szCs w:val="24"/>
        </w:rPr>
        <w:t>4)会合理使用临床常用药物。</w:t>
      </w:r>
    </w:p>
    <w:p>
      <w:pPr>
        <w:spacing w:line="360" w:lineRule="auto"/>
        <w:ind w:firstLine="480" w:firstLineChars="200"/>
        <w:jc w:val="left"/>
        <w:rPr>
          <w:rFonts w:ascii="宋体" w:hAnsi="宋体"/>
          <w:sz w:val="24"/>
          <w:szCs w:val="24"/>
        </w:rPr>
      </w:pPr>
      <w:r>
        <w:rPr>
          <w:rFonts w:hint="eastAsia" w:ascii="宋体" w:hAnsi="宋体"/>
          <w:sz w:val="24"/>
          <w:szCs w:val="24"/>
        </w:rPr>
        <w:t>5)能对基层常见急危重病人进行初步判断、初步处理和正确转诊。</w:t>
      </w:r>
    </w:p>
    <w:p>
      <w:pPr>
        <w:spacing w:line="360" w:lineRule="auto"/>
        <w:ind w:firstLine="480" w:firstLineChars="200"/>
        <w:jc w:val="left"/>
        <w:rPr>
          <w:rFonts w:ascii="宋体" w:hAnsi="宋体"/>
          <w:sz w:val="24"/>
          <w:szCs w:val="24"/>
        </w:rPr>
      </w:pPr>
      <w:r>
        <w:rPr>
          <w:rFonts w:hint="eastAsia" w:ascii="宋体" w:hAnsi="宋体"/>
          <w:sz w:val="24"/>
          <w:szCs w:val="24"/>
        </w:rPr>
        <w:t>6)能运用循证医学、预防医学的基本原理指导医学实践。</w:t>
      </w:r>
    </w:p>
    <w:p>
      <w:pPr>
        <w:spacing w:line="360" w:lineRule="auto"/>
        <w:ind w:firstLine="480" w:firstLineChars="200"/>
        <w:jc w:val="left"/>
        <w:outlineLvl w:val="1"/>
        <w:rPr>
          <w:rFonts w:ascii="宋体" w:hAnsi="宋体"/>
          <w:sz w:val="24"/>
          <w:szCs w:val="24"/>
        </w:rPr>
      </w:pPr>
      <w:r>
        <w:rPr>
          <w:rFonts w:hint="eastAsia" w:ascii="宋体" w:hAnsi="宋体"/>
          <w:sz w:val="24"/>
          <w:szCs w:val="24"/>
        </w:rPr>
        <w:t>7)</w:t>
      </w:r>
      <w:r>
        <w:rPr>
          <w:rFonts w:hint="eastAsia" w:ascii="宋体" w:hAnsi="宋体"/>
          <w:sz w:val="24"/>
          <w:szCs w:val="24"/>
          <w:lang w:val="zh-CN"/>
        </w:rPr>
        <w:t>能</w:t>
      </w:r>
      <w:r>
        <w:rPr>
          <w:rFonts w:hint="eastAsia" w:ascii="宋体" w:hAnsi="宋体"/>
          <w:sz w:val="24"/>
          <w:szCs w:val="24"/>
        </w:rPr>
        <w:t>实施基本公共卫生服务，</w:t>
      </w:r>
      <w:r>
        <w:rPr>
          <w:rFonts w:hint="eastAsia" w:ascii="宋体" w:hAnsi="宋体"/>
          <w:sz w:val="24"/>
          <w:szCs w:val="24"/>
          <w:lang w:val="zh-CN"/>
        </w:rPr>
        <w:t>能</w:t>
      </w:r>
      <w:r>
        <w:rPr>
          <w:rFonts w:hint="eastAsia" w:ascii="宋体" w:hAnsi="宋体"/>
          <w:sz w:val="24"/>
          <w:szCs w:val="24"/>
        </w:rPr>
        <w:t>开展卫生适宜技术服务。</w:t>
      </w:r>
    </w:p>
    <w:p>
      <w:pPr>
        <w:spacing w:line="360" w:lineRule="auto"/>
        <w:ind w:firstLine="480" w:firstLineChars="200"/>
        <w:jc w:val="left"/>
        <w:outlineLvl w:val="1"/>
        <w:rPr>
          <w:rFonts w:ascii="宋体" w:hAnsi="宋体"/>
          <w:sz w:val="24"/>
          <w:szCs w:val="24"/>
        </w:rPr>
      </w:pPr>
      <w:r>
        <w:rPr>
          <w:rFonts w:hint="eastAsia" w:ascii="宋体" w:hAnsi="宋体"/>
          <w:sz w:val="24"/>
          <w:szCs w:val="24"/>
        </w:rPr>
        <w:t>8)能规范书写医疗文书。</w:t>
      </w:r>
    </w:p>
    <w:p>
      <w:pPr>
        <w:spacing w:line="360" w:lineRule="auto"/>
        <w:ind w:firstLine="480" w:firstLineChars="200"/>
        <w:jc w:val="left"/>
        <w:outlineLvl w:val="1"/>
        <w:rPr>
          <w:rFonts w:ascii="宋体" w:hAnsi="宋体"/>
          <w:bCs/>
          <w:sz w:val="24"/>
          <w:szCs w:val="24"/>
        </w:rPr>
      </w:pPr>
      <w:r>
        <w:rPr>
          <w:rFonts w:hint="eastAsia" w:ascii="宋体" w:hAnsi="宋体"/>
          <w:bCs/>
          <w:sz w:val="24"/>
          <w:szCs w:val="24"/>
        </w:rPr>
        <w:t>（3）核心能力</w:t>
      </w:r>
    </w:p>
    <w:p>
      <w:pPr>
        <w:spacing w:line="360" w:lineRule="auto"/>
        <w:ind w:firstLine="480" w:firstLineChars="200"/>
        <w:jc w:val="left"/>
        <w:outlineLvl w:val="1"/>
        <w:rPr>
          <w:rFonts w:ascii="宋体" w:hAnsi="宋体"/>
          <w:bCs/>
          <w:sz w:val="24"/>
          <w:szCs w:val="24"/>
        </w:rPr>
      </w:pPr>
      <w:r>
        <w:rPr>
          <w:rFonts w:hint="eastAsia" w:ascii="宋体" w:hAnsi="宋体"/>
          <w:bCs/>
          <w:sz w:val="24"/>
          <w:szCs w:val="24"/>
        </w:rPr>
        <w:t>1)具有理解国家方针、政策、法律、法规的能力。</w:t>
      </w:r>
    </w:p>
    <w:p>
      <w:pPr>
        <w:spacing w:line="360" w:lineRule="auto"/>
        <w:ind w:firstLine="480" w:firstLineChars="200"/>
        <w:jc w:val="left"/>
        <w:outlineLvl w:val="1"/>
        <w:rPr>
          <w:rFonts w:ascii="宋体" w:hAnsi="宋体"/>
          <w:bCs/>
          <w:sz w:val="24"/>
          <w:szCs w:val="24"/>
        </w:rPr>
      </w:pPr>
      <w:r>
        <w:rPr>
          <w:rFonts w:hint="eastAsia" w:ascii="宋体" w:hAnsi="宋体"/>
          <w:bCs/>
          <w:sz w:val="24"/>
          <w:szCs w:val="24"/>
        </w:rPr>
        <w:t>2)具有终生学习能力和可持续发展能力。</w:t>
      </w:r>
    </w:p>
    <w:p>
      <w:pPr>
        <w:spacing w:line="360" w:lineRule="auto"/>
        <w:ind w:firstLine="480" w:firstLineChars="200"/>
        <w:jc w:val="left"/>
        <w:outlineLvl w:val="1"/>
        <w:rPr>
          <w:rFonts w:ascii="宋体" w:hAnsi="宋体"/>
          <w:bCs/>
          <w:sz w:val="24"/>
          <w:szCs w:val="24"/>
        </w:rPr>
      </w:pPr>
      <w:r>
        <w:rPr>
          <w:rFonts w:hint="eastAsia" w:ascii="宋体" w:hAnsi="宋体"/>
          <w:bCs/>
          <w:sz w:val="24"/>
          <w:szCs w:val="24"/>
        </w:rPr>
        <w:t>3)具有临床技能与基本医疗服务能力。</w:t>
      </w:r>
    </w:p>
    <w:p>
      <w:pPr>
        <w:spacing w:line="360" w:lineRule="auto"/>
        <w:ind w:firstLine="480" w:firstLineChars="200"/>
        <w:jc w:val="left"/>
        <w:outlineLvl w:val="1"/>
        <w:rPr>
          <w:rFonts w:ascii="宋体" w:hAnsi="宋体"/>
          <w:bCs/>
          <w:sz w:val="24"/>
          <w:szCs w:val="24"/>
        </w:rPr>
      </w:pPr>
      <w:r>
        <w:rPr>
          <w:rFonts w:hint="eastAsia" w:ascii="宋体" w:hAnsi="宋体"/>
          <w:bCs/>
          <w:sz w:val="24"/>
          <w:szCs w:val="24"/>
        </w:rPr>
        <w:t>4)具有基本卫生服务、疾病预防与健康促进能力。</w:t>
      </w:r>
    </w:p>
    <w:p>
      <w:pPr>
        <w:spacing w:line="360" w:lineRule="auto"/>
        <w:ind w:firstLine="480" w:firstLineChars="200"/>
        <w:jc w:val="left"/>
        <w:outlineLvl w:val="1"/>
        <w:rPr>
          <w:rFonts w:ascii="宋体" w:hAnsi="宋体"/>
          <w:bCs/>
          <w:sz w:val="24"/>
          <w:szCs w:val="24"/>
        </w:rPr>
      </w:pPr>
      <w:r>
        <w:rPr>
          <w:rFonts w:hint="eastAsia" w:ascii="宋体" w:hAnsi="宋体"/>
          <w:bCs/>
          <w:sz w:val="24"/>
          <w:szCs w:val="24"/>
        </w:rPr>
        <w:t>5)具有良好的医护患沟通能力、团队合作能力。</w:t>
      </w:r>
    </w:p>
    <w:p>
      <w:pPr>
        <w:spacing w:line="360" w:lineRule="auto"/>
        <w:ind w:firstLine="480" w:firstLineChars="200"/>
        <w:jc w:val="left"/>
        <w:rPr>
          <w:rFonts w:ascii="宋体" w:hAnsi="宋体"/>
          <w:bCs/>
          <w:sz w:val="24"/>
          <w:szCs w:val="24"/>
        </w:rPr>
      </w:pPr>
      <w:r>
        <w:rPr>
          <w:rFonts w:hint="eastAsia" w:ascii="宋体" w:hAnsi="宋体"/>
          <w:bCs/>
          <w:sz w:val="24"/>
          <w:szCs w:val="24"/>
        </w:rPr>
        <w:t>6)</w:t>
      </w:r>
      <w:bookmarkStart w:id="19" w:name="bookmark45"/>
      <w:bookmarkEnd w:id="19"/>
      <w:r>
        <w:rPr>
          <w:rFonts w:hint="eastAsia" w:ascii="宋体" w:hAnsi="宋体"/>
          <w:bCs/>
          <w:sz w:val="24"/>
          <w:szCs w:val="24"/>
        </w:rPr>
        <w:t>具有良好的服务意识和工作抗压能力。</w:t>
      </w:r>
    </w:p>
    <w:p>
      <w:pPr>
        <w:spacing w:line="360" w:lineRule="auto"/>
        <w:ind w:firstLine="480" w:firstLineChars="200"/>
        <w:jc w:val="left"/>
        <w:rPr>
          <w:rFonts w:ascii="宋体" w:hAnsi="宋体"/>
          <w:bCs/>
          <w:sz w:val="24"/>
          <w:szCs w:val="24"/>
        </w:rPr>
      </w:pPr>
      <w:r>
        <w:rPr>
          <w:rFonts w:hint="eastAsia" w:ascii="宋体" w:hAnsi="宋体"/>
          <w:bCs/>
          <w:sz w:val="24"/>
          <w:szCs w:val="24"/>
        </w:rPr>
        <w:t>7)具有信息化与管理能力。</w:t>
      </w:r>
    </w:p>
    <w:p>
      <w:pPr>
        <w:spacing w:line="360" w:lineRule="auto"/>
        <w:ind w:firstLine="480" w:firstLineChars="200"/>
        <w:jc w:val="left"/>
        <w:rPr>
          <w:rFonts w:ascii="宋体" w:hAnsi="宋体"/>
          <w:bCs/>
          <w:sz w:val="24"/>
          <w:szCs w:val="24"/>
        </w:rPr>
      </w:pPr>
      <w:r>
        <w:rPr>
          <w:rFonts w:hint="eastAsia" w:ascii="宋体" w:hAnsi="宋体"/>
          <w:bCs/>
          <w:sz w:val="24"/>
          <w:szCs w:val="24"/>
        </w:rPr>
        <w:t>8)具有学术研究能力。</w:t>
      </w:r>
    </w:p>
    <w:p>
      <w:pPr>
        <w:spacing w:line="360" w:lineRule="auto"/>
        <w:ind w:firstLine="482" w:firstLineChars="200"/>
        <w:jc w:val="left"/>
        <w:outlineLvl w:val="1"/>
        <w:rPr>
          <w:rFonts w:ascii="宋体" w:hAnsi="宋体"/>
          <w:b/>
          <w:bCs/>
          <w:sz w:val="24"/>
          <w:szCs w:val="24"/>
        </w:rPr>
      </w:pPr>
      <w:r>
        <w:rPr>
          <w:rFonts w:hint="eastAsia" w:ascii="宋体" w:hAnsi="宋体"/>
          <w:b/>
          <w:bCs/>
          <w:sz w:val="24"/>
          <w:szCs w:val="24"/>
        </w:rPr>
        <w:t>3.职业态度要求</w:t>
      </w:r>
    </w:p>
    <w:p>
      <w:pPr>
        <w:spacing w:line="360" w:lineRule="auto"/>
        <w:ind w:firstLine="480" w:firstLineChars="200"/>
        <w:jc w:val="left"/>
        <w:outlineLvl w:val="1"/>
        <w:rPr>
          <w:rFonts w:ascii="宋体" w:hAnsi="宋体"/>
          <w:bCs/>
          <w:sz w:val="24"/>
          <w:szCs w:val="24"/>
        </w:rPr>
      </w:pPr>
      <w:r>
        <w:rPr>
          <w:rFonts w:hint="eastAsia" w:ascii="宋体" w:hAnsi="宋体"/>
          <w:bCs/>
          <w:sz w:val="24"/>
          <w:szCs w:val="24"/>
        </w:rPr>
        <w:t>（1）团结合作、爱岗敬业、求真务实、勇于创新。</w:t>
      </w:r>
    </w:p>
    <w:p>
      <w:pPr>
        <w:spacing w:line="360" w:lineRule="auto"/>
        <w:ind w:firstLine="480" w:firstLineChars="200"/>
        <w:jc w:val="left"/>
        <w:rPr>
          <w:rFonts w:ascii="宋体" w:hAnsi="宋体"/>
          <w:sz w:val="24"/>
          <w:szCs w:val="24"/>
        </w:rPr>
      </w:pPr>
      <w:r>
        <w:rPr>
          <w:rFonts w:hint="eastAsia" w:ascii="宋体" w:hAnsi="宋体"/>
          <w:sz w:val="24"/>
          <w:szCs w:val="24"/>
        </w:rPr>
        <w:t>（2）认真、细致、严谨、敏锐、科学求实。</w:t>
      </w:r>
    </w:p>
    <w:p>
      <w:pPr>
        <w:spacing w:line="360" w:lineRule="auto"/>
        <w:ind w:firstLine="480" w:firstLineChars="200"/>
        <w:jc w:val="left"/>
        <w:rPr>
          <w:rFonts w:ascii="宋体" w:hAnsi="宋体"/>
          <w:sz w:val="24"/>
          <w:szCs w:val="24"/>
        </w:rPr>
      </w:pPr>
      <w:r>
        <w:rPr>
          <w:rFonts w:hint="eastAsia" w:ascii="宋体" w:hAnsi="宋体"/>
          <w:sz w:val="24"/>
          <w:szCs w:val="24"/>
        </w:rPr>
        <w:t>（3）崇尚宪法、遵纪守法、依法行医。</w:t>
      </w:r>
    </w:p>
    <w:p>
      <w:pPr>
        <w:spacing w:line="360" w:lineRule="auto"/>
        <w:ind w:firstLine="480" w:firstLineChars="200"/>
        <w:jc w:val="left"/>
        <w:rPr>
          <w:rFonts w:ascii="宋体" w:hAnsi="宋体"/>
          <w:sz w:val="24"/>
          <w:szCs w:val="24"/>
        </w:rPr>
      </w:pPr>
      <w:r>
        <w:rPr>
          <w:rFonts w:hint="eastAsia" w:ascii="宋体" w:hAnsi="宋体"/>
          <w:sz w:val="24"/>
          <w:szCs w:val="24"/>
        </w:rPr>
        <w:t>（4）乐观向上、勇于奋斗、追求医疗技术卓越。</w:t>
      </w:r>
    </w:p>
    <w:p>
      <w:pPr>
        <w:spacing w:line="360" w:lineRule="auto"/>
        <w:ind w:firstLine="480" w:firstLineChars="200"/>
        <w:jc w:val="left"/>
        <w:rPr>
          <w:rFonts w:ascii="宋体" w:hAnsi="宋体"/>
          <w:sz w:val="24"/>
          <w:szCs w:val="24"/>
        </w:rPr>
      </w:pPr>
      <w:r>
        <w:rPr>
          <w:rFonts w:hint="eastAsia" w:ascii="宋体" w:hAnsi="宋体"/>
          <w:sz w:val="24"/>
          <w:szCs w:val="24"/>
        </w:rPr>
        <w:t>（5）尊重、关爱病人，保护病人隐私。</w:t>
      </w:r>
    </w:p>
    <w:p>
      <w:pPr>
        <w:spacing w:line="360" w:lineRule="auto"/>
        <w:ind w:firstLine="480" w:firstLineChars="200"/>
        <w:jc w:val="left"/>
        <w:rPr>
          <w:rFonts w:ascii="宋体" w:hAnsi="宋体"/>
          <w:sz w:val="24"/>
          <w:szCs w:val="24"/>
        </w:rPr>
      </w:pPr>
      <w:r>
        <w:rPr>
          <w:rFonts w:hint="eastAsia" w:ascii="宋体" w:hAnsi="宋体"/>
          <w:sz w:val="24"/>
          <w:szCs w:val="24"/>
        </w:rPr>
        <w:t>（6）尊重生命、医者仁心、大爱无疆。</w:t>
      </w:r>
    </w:p>
    <w:p>
      <w:pPr>
        <w:spacing w:line="360" w:lineRule="auto"/>
        <w:ind w:firstLine="480" w:firstLineChars="200"/>
        <w:jc w:val="left"/>
        <w:rPr>
          <w:rFonts w:ascii="宋体" w:hAnsi="宋体"/>
          <w:sz w:val="24"/>
          <w:szCs w:val="24"/>
        </w:rPr>
      </w:pPr>
      <w:r>
        <w:rPr>
          <w:rFonts w:hint="eastAsia" w:ascii="宋体" w:hAnsi="宋体"/>
          <w:sz w:val="24"/>
          <w:szCs w:val="24"/>
        </w:rPr>
        <w:t>（7）正确就业、择业。</w:t>
      </w:r>
    </w:p>
    <w:p>
      <w:pPr>
        <w:pStyle w:val="2"/>
        <w:rPr>
          <w:rFonts w:hint="eastAsia"/>
        </w:rPr>
      </w:pPr>
      <w:bookmarkStart w:id="20" w:name="_Toc50581816"/>
      <w:r>
        <w:rPr>
          <w:rFonts w:hint="eastAsia"/>
        </w:rPr>
        <w:t>六、课程设置及要求</w:t>
      </w:r>
      <w:bookmarkEnd w:id="20"/>
    </w:p>
    <w:p>
      <w:pPr>
        <w:spacing w:line="360" w:lineRule="auto"/>
        <w:ind w:firstLine="480" w:firstLineChars="200"/>
        <w:rPr>
          <w:rFonts w:ascii="宋体" w:hAnsi="宋体"/>
          <w:sz w:val="24"/>
          <w:szCs w:val="24"/>
        </w:rPr>
      </w:pPr>
      <w:r>
        <w:rPr>
          <w:rFonts w:hint="eastAsia" w:ascii="宋体" w:hAnsi="宋体"/>
          <w:sz w:val="24"/>
          <w:szCs w:val="24"/>
        </w:rPr>
        <w:t>根据《高等职业学校临床医学专业教学标准》，本专业以基本素质培养和医疗技术应用能力培养为主线，以“必须、够用、实用”为原则，以能力为本位，将创新创业教育融入专业课程教学和相关实践性教学，将课程思政教学改革融入专业课程教学，将1+X课证融通与临床实际相结合，校院合作，构建“下得去、待得住、干得好”的素质、能力培养课程体系。该体系包括公共基础</w:t>
      </w:r>
      <w:r>
        <w:rPr>
          <w:rFonts w:hint="eastAsia" w:ascii="宋体" w:hAnsi="宋体" w:cs="宋体"/>
          <w:szCs w:val="21"/>
        </w:rPr>
        <w:t>必修</w:t>
      </w:r>
      <w:r>
        <w:rPr>
          <w:rFonts w:hint="eastAsia" w:ascii="宋体" w:hAnsi="宋体"/>
          <w:sz w:val="24"/>
          <w:szCs w:val="24"/>
        </w:rPr>
        <w:t>课程、专业基础课程、专业核心课程、专业拓展课程、选修课程、专业技能综合实训、毕业实习七大模块。</w:t>
      </w:r>
    </w:p>
    <w:p>
      <w:pPr>
        <w:spacing w:line="360" w:lineRule="auto"/>
        <w:ind w:firstLine="482" w:firstLineChars="200"/>
        <w:rPr>
          <w:rFonts w:ascii="宋体" w:hAnsi="宋体" w:cs="宋体"/>
          <w:b/>
          <w:bCs/>
          <w:sz w:val="24"/>
          <w:szCs w:val="24"/>
        </w:rPr>
      </w:pPr>
      <w:r>
        <w:rPr>
          <w:rFonts w:hint="eastAsia" w:ascii="宋体" w:hAnsi="宋体" w:cs="宋体"/>
          <w:b/>
          <w:sz w:val="24"/>
          <w:szCs w:val="24"/>
        </w:rPr>
        <w:t>（一）公共基础课程</w:t>
      </w:r>
    </w:p>
    <w:p>
      <w:pPr>
        <w:spacing w:line="360" w:lineRule="auto"/>
        <w:ind w:firstLine="480" w:firstLineChars="200"/>
        <w:rPr>
          <w:rFonts w:ascii="宋体" w:hAnsi="宋体"/>
          <w:sz w:val="24"/>
          <w:szCs w:val="24"/>
        </w:rPr>
      </w:pPr>
      <w:r>
        <w:rPr>
          <w:rFonts w:hint="eastAsia" w:ascii="宋体" w:hAnsi="宋体"/>
          <w:sz w:val="24"/>
          <w:szCs w:val="24"/>
        </w:rPr>
        <w:t>公共基础课程重在培养学生的人文素养，使学生具有诚信品质、职业素养、敬业精神、责任意识、创新思维、创业能力以及良好的道德准则和行为规范，树立正确的世界观、人生观和社会主义核心价值观。</w:t>
      </w:r>
    </w:p>
    <w:p>
      <w:pPr>
        <w:spacing w:line="360" w:lineRule="auto"/>
        <w:ind w:firstLine="480" w:firstLineChars="200"/>
        <w:rPr>
          <w:rFonts w:ascii="宋体" w:hAnsi="宋体"/>
          <w:sz w:val="24"/>
          <w:szCs w:val="24"/>
        </w:rPr>
      </w:pPr>
      <w:r>
        <w:rPr>
          <w:rFonts w:hint="eastAsia" w:ascii="宋体" w:hAnsi="宋体"/>
          <w:sz w:val="24"/>
          <w:szCs w:val="24"/>
        </w:rPr>
        <w:t>课程设置包括思想道德修养与法律基础、毛泽东思想和中国特色社会主义理论体系概论、形势与政策、英语、计算机应用基础、体育、心理健康教育、军事理论和技能、职业发展与就业指导、创新创业教育、健康教育、美育、劳动、志愿服务等。课程目标、主要教学内容、教学要求详见表4。</w:t>
      </w:r>
    </w:p>
    <w:p>
      <w:pPr>
        <w:spacing w:line="360" w:lineRule="auto"/>
        <w:jc w:val="center"/>
        <w:rPr>
          <w:rFonts w:ascii="宋体" w:hAnsi="宋体"/>
          <w:b/>
          <w:szCs w:val="21"/>
        </w:rPr>
      </w:pPr>
      <w:r>
        <w:rPr>
          <w:rFonts w:hint="eastAsia" w:ascii="宋体" w:hAnsi="宋体"/>
          <w:b/>
          <w:szCs w:val="21"/>
        </w:rPr>
        <w:t>表4  公共基础课课程目标、主要教学内容、教学要求</w:t>
      </w:r>
    </w:p>
    <w:tbl>
      <w:tblPr>
        <w:tblStyle w:val="1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4"/>
        <w:gridCol w:w="156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92D050"/>
          </w:tcPr>
          <w:p>
            <w:pPr>
              <w:spacing w:line="360" w:lineRule="auto"/>
              <w:jc w:val="center"/>
              <w:outlineLvl w:val="1"/>
              <w:rPr>
                <w:rFonts w:ascii="宋体" w:hAnsi="宋体"/>
                <w:b/>
                <w:szCs w:val="21"/>
              </w:rPr>
            </w:pPr>
            <w:r>
              <w:rPr>
                <w:rFonts w:hint="eastAsia" w:ascii="宋体" w:hAnsi="宋体"/>
                <w:szCs w:val="21"/>
              </w:rPr>
              <w:t>序号</w:t>
            </w:r>
          </w:p>
        </w:tc>
        <w:tc>
          <w:tcPr>
            <w:tcW w:w="1134" w:type="dxa"/>
            <w:shd w:val="clear" w:color="auto" w:fill="92D050"/>
          </w:tcPr>
          <w:p>
            <w:pPr>
              <w:spacing w:line="360" w:lineRule="auto"/>
              <w:jc w:val="center"/>
              <w:outlineLvl w:val="1"/>
              <w:rPr>
                <w:rFonts w:ascii="宋体" w:hAnsi="宋体"/>
                <w:b/>
                <w:szCs w:val="21"/>
              </w:rPr>
            </w:pPr>
            <w:r>
              <w:rPr>
                <w:rFonts w:hint="eastAsia" w:ascii="宋体" w:hAnsi="宋体"/>
                <w:szCs w:val="21"/>
              </w:rPr>
              <w:t>课程名称</w:t>
            </w:r>
          </w:p>
        </w:tc>
        <w:tc>
          <w:tcPr>
            <w:tcW w:w="1560" w:type="dxa"/>
            <w:shd w:val="clear" w:color="auto" w:fill="92D050"/>
          </w:tcPr>
          <w:p>
            <w:pPr>
              <w:spacing w:line="360" w:lineRule="auto"/>
              <w:jc w:val="center"/>
              <w:outlineLvl w:val="1"/>
              <w:rPr>
                <w:rFonts w:ascii="宋体" w:hAnsi="宋体"/>
                <w:szCs w:val="21"/>
              </w:rPr>
            </w:pPr>
            <w:r>
              <w:rPr>
                <w:rFonts w:hint="eastAsia" w:ascii="宋体" w:hAnsi="宋体"/>
                <w:szCs w:val="21"/>
              </w:rPr>
              <w:t>项目</w:t>
            </w:r>
          </w:p>
        </w:tc>
        <w:tc>
          <w:tcPr>
            <w:tcW w:w="6520" w:type="dxa"/>
            <w:shd w:val="clear" w:color="auto" w:fill="92D050"/>
          </w:tcPr>
          <w:p>
            <w:pPr>
              <w:spacing w:line="360" w:lineRule="auto"/>
              <w:jc w:val="center"/>
              <w:outlineLvl w:val="1"/>
              <w:rPr>
                <w:rFonts w:ascii="宋体" w:hAnsi="宋体"/>
                <w:szCs w:val="21"/>
              </w:rPr>
            </w:pP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360" w:lineRule="auto"/>
              <w:jc w:val="center"/>
              <w:outlineLvl w:val="1"/>
              <w:rPr>
                <w:rFonts w:ascii="宋体" w:hAnsi="宋体"/>
                <w:szCs w:val="21"/>
              </w:rPr>
            </w:pPr>
            <w:r>
              <w:rPr>
                <w:rFonts w:hint="eastAsia" w:ascii="宋体" w:hAnsi="宋体"/>
                <w:szCs w:val="21"/>
              </w:rPr>
              <w:t>1</w:t>
            </w:r>
          </w:p>
        </w:tc>
        <w:tc>
          <w:tcPr>
            <w:tcW w:w="1134" w:type="dxa"/>
            <w:vMerge w:val="restart"/>
            <w:vAlign w:val="center"/>
          </w:tcPr>
          <w:p>
            <w:pPr>
              <w:spacing w:line="360" w:lineRule="auto"/>
              <w:jc w:val="center"/>
              <w:outlineLvl w:val="1"/>
              <w:rPr>
                <w:rFonts w:ascii="宋体" w:hAnsi="宋体"/>
                <w:szCs w:val="21"/>
              </w:rPr>
            </w:pPr>
            <w:r>
              <w:rPr>
                <w:rFonts w:hint="eastAsia" w:ascii="宋体" w:hAnsi="宋体"/>
                <w:szCs w:val="21"/>
              </w:rPr>
              <w:t>思想道德修养与法律基础</w:t>
            </w:r>
          </w:p>
        </w:tc>
        <w:tc>
          <w:tcPr>
            <w:tcW w:w="1560" w:type="dxa"/>
            <w:vAlign w:val="center"/>
          </w:tcPr>
          <w:p>
            <w:pPr>
              <w:spacing w:line="360" w:lineRule="auto"/>
              <w:jc w:val="center"/>
              <w:outlineLvl w:val="1"/>
              <w:rPr>
                <w:rFonts w:ascii="宋体" w:hAnsi="宋体"/>
                <w:szCs w:val="21"/>
              </w:rPr>
            </w:pPr>
            <w:r>
              <w:rPr>
                <w:rFonts w:hint="eastAsia" w:ascii="宋体" w:hAnsi="宋体"/>
                <w:szCs w:val="21"/>
              </w:rPr>
              <w:t>课程目标</w:t>
            </w:r>
          </w:p>
        </w:tc>
        <w:tc>
          <w:tcPr>
            <w:tcW w:w="6520" w:type="dxa"/>
          </w:tcPr>
          <w:p>
            <w:pPr>
              <w:spacing w:line="360" w:lineRule="auto"/>
              <w:rPr>
                <w:rFonts w:ascii="宋体" w:hAnsi="宋体" w:cs="宋体"/>
                <w:bCs/>
                <w:szCs w:val="21"/>
              </w:rPr>
            </w:pPr>
            <w:r>
              <w:rPr>
                <w:rFonts w:hint="eastAsia" w:ascii="宋体" w:hAnsi="宋体" w:cs="宋体"/>
                <w:bCs/>
                <w:szCs w:val="21"/>
              </w:rPr>
              <w:t>（1）能增强社会主义法制观念，提高思想道德素质，解决成长成才过程中遇到的实际问题。（2）能理论联系实际，紧密结合当今社会实际中的热点和焦点问题，辩证思考。（3）能做到知行合一，积极践行社会主义核心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cs="宋体"/>
                <w:bCs/>
                <w:szCs w:val="21"/>
              </w:rPr>
            </w:pPr>
            <w:r>
              <w:rPr>
                <w:rFonts w:hint="eastAsia" w:ascii="宋体" w:hAnsi="宋体"/>
                <w:szCs w:val="21"/>
              </w:rPr>
              <w:t>主要教学内容</w:t>
            </w:r>
          </w:p>
        </w:tc>
        <w:tc>
          <w:tcPr>
            <w:tcW w:w="6520" w:type="dxa"/>
          </w:tcPr>
          <w:p>
            <w:pPr>
              <w:spacing w:line="360" w:lineRule="auto"/>
              <w:rPr>
                <w:rFonts w:ascii="宋体" w:hAnsi="宋体" w:cs="宋体"/>
                <w:bCs/>
                <w:szCs w:val="21"/>
              </w:rPr>
            </w:pPr>
            <w:r>
              <w:rPr>
                <w:rFonts w:hint="eastAsia" w:ascii="宋体" w:hAnsi="宋体" w:cs="宋体"/>
                <w:kern w:val="0"/>
                <w:szCs w:val="21"/>
                <w:lang w:bidi="zh-CN"/>
              </w:rPr>
              <w:t>绪论</w:t>
            </w:r>
            <w:r>
              <w:rPr>
                <w:rFonts w:hint="eastAsia" w:ascii="宋体" w:hAnsi="宋体" w:cs="宋体"/>
                <w:kern w:val="0"/>
                <w:szCs w:val="21"/>
                <w:lang w:val="zh-CN" w:bidi="zh-CN"/>
              </w:rPr>
              <w:t>；</w:t>
            </w:r>
            <w:r>
              <w:rPr>
                <w:rFonts w:hint="eastAsia" w:ascii="宋体" w:hAnsi="宋体" w:cs="宋体"/>
                <w:kern w:val="0"/>
                <w:szCs w:val="21"/>
                <w:lang w:bidi="zh-CN"/>
              </w:rPr>
              <w:t>人生的青春之问</w:t>
            </w:r>
            <w:r>
              <w:rPr>
                <w:rFonts w:hint="eastAsia" w:ascii="宋体" w:hAnsi="宋体" w:cs="宋体"/>
                <w:kern w:val="0"/>
                <w:szCs w:val="21"/>
                <w:lang w:val="zh-CN" w:bidi="zh-CN"/>
              </w:rPr>
              <w:t>；</w:t>
            </w:r>
            <w:r>
              <w:rPr>
                <w:rFonts w:hint="eastAsia" w:ascii="宋体" w:hAnsi="宋体" w:cs="宋体"/>
                <w:kern w:val="0"/>
                <w:szCs w:val="21"/>
                <w:lang w:bidi="zh-CN"/>
              </w:rPr>
              <w:t>坚定理想信念；</w:t>
            </w:r>
            <w:r>
              <w:rPr>
                <w:rFonts w:hint="eastAsia" w:ascii="宋体" w:hAnsi="宋体" w:cs="宋体"/>
                <w:kern w:val="0"/>
                <w:szCs w:val="21"/>
                <w:lang w:val="zh-CN" w:bidi="zh-CN"/>
              </w:rPr>
              <w:t>弘扬中国精神；践行社会主义核心价值观；明大德守公德严私德；</w:t>
            </w:r>
            <w:r>
              <w:rPr>
                <w:rFonts w:hint="eastAsia" w:ascii="宋体" w:hAnsi="宋体" w:cs="宋体"/>
                <w:kern w:val="0"/>
                <w:szCs w:val="21"/>
                <w:lang w:bidi="zh-CN"/>
              </w:rPr>
              <w:t>尊法学法守法用法。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cs="宋体"/>
                <w:bCs/>
                <w:szCs w:val="21"/>
              </w:rPr>
            </w:pPr>
            <w:r>
              <w:rPr>
                <w:rFonts w:hint="eastAsia" w:ascii="宋体" w:hAnsi="宋体"/>
                <w:szCs w:val="21"/>
              </w:rPr>
              <w:t>教学要求</w:t>
            </w:r>
          </w:p>
        </w:tc>
        <w:tc>
          <w:tcPr>
            <w:tcW w:w="6520" w:type="dxa"/>
          </w:tcPr>
          <w:p>
            <w:pPr>
              <w:spacing w:line="360" w:lineRule="auto"/>
              <w:rPr>
                <w:rFonts w:ascii="宋体" w:hAnsi="宋体" w:cs="宋体"/>
                <w:bCs/>
                <w:szCs w:val="21"/>
              </w:rPr>
            </w:pPr>
            <w:r>
              <w:rPr>
                <w:rFonts w:hint="eastAsia" w:ascii="宋体" w:hAnsi="宋体" w:cs="宋体"/>
                <w:bCs/>
                <w:szCs w:val="21"/>
              </w:rPr>
              <w:t>结合当代大学生的成长规律，帮助和指导大学生解决有关人生、理想、道德、法律等方面的问题，指导确立远大的人生目标、高尚的思想道德情操和正确的法制观念和法律意识。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360" w:lineRule="auto"/>
              <w:jc w:val="center"/>
              <w:outlineLvl w:val="1"/>
              <w:rPr>
                <w:rFonts w:ascii="宋体" w:hAnsi="宋体"/>
                <w:szCs w:val="21"/>
              </w:rPr>
            </w:pPr>
            <w:r>
              <w:rPr>
                <w:rFonts w:hint="eastAsia" w:ascii="宋体" w:hAnsi="宋体"/>
                <w:szCs w:val="21"/>
              </w:rPr>
              <w:t>2</w:t>
            </w:r>
          </w:p>
        </w:tc>
        <w:tc>
          <w:tcPr>
            <w:tcW w:w="1134" w:type="dxa"/>
            <w:vMerge w:val="restart"/>
            <w:vAlign w:val="center"/>
          </w:tcPr>
          <w:p>
            <w:pPr>
              <w:spacing w:line="360" w:lineRule="auto"/>
              <w:jc w:val="center"/>
              <w:outlineLvl w:val="1"/>
              <w:rPr>
                <w:rFonts w:ascii="宋体" w:hAnsi="宋体"/>
                <w:szCs w:val="21"/>
              </w:rPr>
            </w:pPr>
            <w:r>
              <w:rPr>
                <w:rFonts w:hint="eastAsia" w:ascii="宋体" w:hAnsi="宋体" w:cs="宋体"/>
                <w:szCs w:val="21"/>
                <w:lang w:val="zh-CN" w:bidi="zh-CN"/>
              </w:rPr>
              <w:t>毛泽东思想和中国特色社会主义理论体系概论</w:t>
            </w:r>
          </w:p>
        </w:tc>
        <w:tc>
          <w:tcPr>
            <w:tcW w:w="1560" w:type="dxa"/>
            <w:vAlign w:val="center"/>
          </w:tcPr>
          <w:p>
            <w:pPr>
              <w:spacing w:line="360" w:lineRule="auto"/>
              <w:jc w:val="center"/>
              <w:outlineLvl w:val="1"/>
              <w:rPr>
                <w:rFonts w:ascii="宋体" w:hAnsi="宋体"/>
                <w:szCs w:val="21"/>
              </w:rPr>
            </w:pPr>
            <w:r>
              <w:rPr>
                <w:rFonts w:hint="eastAsia" w:ascii="宋体" w:hAnsi="宋体"/>
                <w:szCs w:val="21"/>
              </w:rPr>
              <w:t>课程目标</w:t>
            </w:r>
          </w:p>
        </w:tc>
        <w:tc>
          <w:tcPr>
            <w:tcW w:w="6520" w:type="dxa"/>
          </w:tcPr>
          <w:p>
            <w:pPr>
              <w:spacing w:line="360" w:lineRule="auto"/>
              <w:rPr>
                <w:rFonts w:ascii="宋体" w:hAnsi="宋体" w:cs="宋体"/>
                <w:bCs/>
                <w:szCs w:val="21"/>
              </w:rPr>
            </w:pPr>
            <w:r>
              <w:rPr>
                <w:rFonts w:hint="eastAsia" w:ascii="宋体" w:hAnsi="宋体" w:cs="宋体"/>
                <w:bCs/>
                <w:szCs w:val="21"/>
              </w:rPr>
              <w:t>（1）能树立科学的世界观、人生观和价值观。（2）能用习近平新时代中国特色社会主义思想武装头脑，分析世情、国情、党情，明辨是非，政治立场坚定。（3）能充分认识新时代赋予大学生的使命，积极投身于实现中华民族的伟大复兴的伟大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cs="宋体"/>
                <w:bCs/>
                <w:szCs w:val="21"/>
              </w:rPr>
            </w:pPr>
            <w:r>
              <w:rPr>
                <w:rFonts w:hint="eastAsia" w:ascii="宋体" w:hAnsi="宋体"/>
                <w:szCs w:val="21"/>
              </w:rPr>
              <w:t>主要教学内容</w:t>
            </w:r>
          </w:p>
        </w:tc>
        <w:tc>
          <w:tcPr>
            <w:tcW w:w="6520" w:type="dxa"/>
          </w:tcPr>
          <w:p>
            <w:pPr>
              <w:spacing w:line="360" w:lineRule="auto"/>
              <w:rPr>
                <w:rFonts w:ascii="宋体" w:hAnsi="宋体" w:cs="宋体"/>
                <w:bCs/>
                <w:szCs w:val="21"/>
              </w:rPr>
            </w:pPr>
            <w:r>
              <w:rPr>
                <w:rFonts w:hint="eastAsia" w:ascii="宋体" w:hAnsi="宋体" w:cs="宋体"/>
                <w:bCs/>
                <w:szCs w:val="21"/>
                <w:lang w:val="zh-CN" w:bidi="zh-CN"/>
              </w:rPr>
              <w:t>毛泽东思想；邓小平理论；“三个代表”重要思想；科学发展观；习近平新时代中国特色社会主义思想。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cs="宋体"/>
                <w:bCs/>
                <w:szCs w:val="21"/>
              </w:rPr>
            </w:pPr>
            <w:r>
              <w:rPr>
                <w:rFonts w:hint="eastAsia" w:ascii="宋体" w:hAnsi="宋体"/>
                <w:szCs w:val="21"/>
              </w:rPr>
              <w:t>教学要求</w:t>
            </w:r>
          </w:p>
        </w:tc>
        <w:tc>
          <w:tcPr>
            <w:tcW w:w="6520" w:type="dxa"/>
          </w:tcPr>
          <w:p>
            <w:pPr>
              <w:spacing w:line="360" w:lineRule="auto"/>
              <w:rPr>
                <w:rFonts w:ascii="宋体" w:hAnsi="宋体" w:cs="宋体"/>
                <w:bCs/>
                <w:szCs w:val="21"/>
              </w:rPr>
            </w:pPr>
            <w:r>
              <w:rPr>
                <w:rFonts w:hint="eastAsia" w:ascii="宋体" w:hAnsi="宋体" w:cs="宋体"/>
                <w:bCs/>
                <w:szCs w:val="21"/>
              </w:rPr>
              <w:t>运用现代化教学手段，结合学生感兴趣的时事和当前国内国际形势，培养学生科学的世界观、人生观和价值观，在当前复杂的国际形势下，坚定马克思主义信仰，坚持走中国特色社会主义道路，成为中国特色社会主义事业的建设者和接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360" w:lineRule="auto"/>
              <w:jc w:val="center"/>
              <w:outlineLvl w:val="1"/>
              <w:rPr>
                <w:rFonts w:ascii="宋体" w:hAnsi="宋体"/>
                <w:szCs w:val="21"/>
              </w:rPr>
            </w:pPr>
            <w:r>
              <w:rPr>
                <w:rFonts w:hint="eastAsia" w:ascii="宋体" w:hAnsi="宋体"/>
                <w:szCs w:val="21"/>
              </w:rPr>
              <w:t>3</w:t>
            </w:r>
          </w:p>
        </w:tc>
        <w:tc>
          <w:tcPr>
            <w:tcW w:w="1134" w:type="dxa"/>
            <w:vMerge w:val="restart"/>
            <w:vAlign w:val="center"/>
          </w:tcPr>
          <w:p>
            <w:pPr>
              <w:spacing w:line="360" w:lineRule="auto"/>
              <w:jc w:val="center"/>
              <w:outlineLvl w:val="1"/>
              <w:rPr>
                <w:rFonts w:ascii="宋体" w:hAnsi="宋体"/>
                <w:szCs w:val="21"/>
              </w:rPr>
            </w:pPr>
            <w:r>
              <w:rPr>
                <w:rFonts w:hint="eastAsia" w:ascii="宋体" w:hAnsi="宋体"/>
                <w:szCs w:val="21"/>
              </w:rPr>
              <w:t>形势与政策</w:t>
            </w:r>
          </w:p>
        </w:tc>
        <w:tc>
          <w:tcPr>
            <w:tcW w:w="1560" w:type="dxa"/>
            <w:vAlign w:val="center"/>
          </w:tcPr>
          <w:p>
            <w:pPr>
              <w:spacing w:line="360" w:lineRule="auto"/>
              <w:jc w:val="center"/>
              <w:outlineLvl w:val="1"/>
              <w:rPr>
                <w:rFonts w:ascii="宋体" w:hAnsi="宋体"/>
                <w:szCs w:val="21"/>
              </w:rPr>
            </w:pPr>
            <w:r>
              <w:rPr>
                <w:rFonts w:hint="eastAsia" w:ascii="宋体" w:hAnsi="宋体"/>
                <w:szCs w:val="21"/>
              </w:rPr>
              <w:t>课程目标</w:t>
            </w:r>
          </w:p>
        </w:tc>
        <w:tc>
          <w:tcPr>
            <w:tcW w:w="6520" w:type="dxa"/>
          </w:tcPr>
          <w:p>
            <w:pPr>
              <w:spacing w:line="360" w:lineRule="auto"/>
              <w:rPr>
                <w:rFonts w:ascii="宋体" w:hAnsi="宋体" w:cs="宋体"/>
                <w:bCs/>
                <w:szCs w:val="21"/>
              </w:rPr>
            </w:pPr>
            <w:r>
              <w:rPr>
                <w:rFonts w:hint="eastAsia" w:ascii="宋体" w:hAnsi="宋体"/>
                <w:szCs w:val="21"/>
              </w:rPr>
              <w:t>（1）能准确把握形势与政策发展的客观规律，正确认识新时代中国特色和国际形势，深刻领会党的十八大以来党和国家事业取得的历史性成就、发生的历史性变革、面临的历史性机遇和挑战。（2）能正确认识时代责任和历史使命，坚定理想信念，担当民族复兴大任。（3）能准确理解党的基本理论、基本路线、基本方略，牢固树立“四个意识”，坚定“四个自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cs="宋体"/>
                <w:bCs/>
                <w:szCs w:val="21"/>
              </w:rPr>
            </w:pPr>
            <w:r>
              <w:rPr>
                <w:rFonts w:hint="eastAsia" w:ascii="宋体" w:hAnsi="宋体"/>
                <w:szCs w:val="21"/>
              </w:rPr>
              <w:t>主要教学内容</w:t>
            </w:r>
          </w:p>
        </w:tc>
        <w:tc>
          <w:tcPr>
            <w:tcW w:w="6520" w:type="dxa"/>
          </w:tcPr>
          <w:p>
            <w:pPr>
              <w:spacing w:line="360" w:lineRule="auto"/>
              <w:rPr>
                <w:rFonts w:ascii="宋体" w:hAnsi="宋体" w:cs="宋体"/>
                <w:bCs/>
                <w:szCs w:val="21"/>
              </w:rPr>
            </w:pPr>
            <w:r>
              <w:rPr>
                <w:rFonts w:hint="eastAsia" w:ascii="宋体" w:hAnsi="宋体"/>
                <w:szCs w:val="21"/>
              </w:rPr>
              <w:t>依据中宣部、教育部下发的《高校形势与政策教育教学要点》确定专题教学内容：国内专题教学内容；国际专题教学内容。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cs="宋体"/>
                <w:bCs/>
                <w:szCs w:val="21"/>
              </w:rPr>
            </w:pPr>
            <w:r>
              <w:rPr>
                <w:rFonts w:hint="eastAsia" w:ascii="宋体" w:hAnsi="宋体"/>
                <w:szCs w:val="21"/>
              </w:rPr>
              <w:t>教学要求</w:t>
            </w:r>
          </w:p>
        </w:tc>
        <w:tc>
          <w:tcPr>
            <w:tcW w:w="6520" w:type="dxa"/>
          </w:tcPr>
          <w:p>
            <w:pPr>
              <w:spacing w:line="360" w:lineRule="auto"/>
              <w:rPr>
                <w:rFonts w:ascii="宋体" w:hAnsi="宋体" w:cs="宋体"/>
                <w:bCs/>
                <w:szCs w:val="21"/>
              </w:rPr>
            </w:pPr>
            <w:r>
              <w:rPr>
                <w:rFonts w:hint="eastAsia" w:ascii="宋体" w:hAnsi="宋体"/>
                <w:szCs w:val="21"/>
              </w:rPr>
              <w:t>通过课程讲解、专题讲座、社团活动、社会实践等，正确把握当下国内外的热点，引导大学生正确认识世情、国情和党情，理解党的路线、方针和政策，理解国内国际形势政策，培养时代责任感和历史使命感。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360" w:lineRule="auto"/>
              <w:jc w:val="center"/>
              <w:outlineLvl w:val="1"/>
              <w:rPr>
                <w:rFonts w:ascii="宋体" w:hAnsi="宋体"/>
                <w:szCs w:val="21"/>
              </w:rPr>
            </w:pPr>
            <w:r>
              <w:rPr>
                <w:rFonts w:hint="eastAsia" w:ascii="宋体" w:hAnsi="宋体"/>
                <w:szCs w:val="21"/>
              </w:rPr>
              <w:t>4</w:t>
            </w:r>
          </w:p>
        </w:tc>
        <w:tc>
          <w:tcPr>
            <w:tcW w:w="1134" w:type="dxa"/>
            <w:vMerge w:val="restart"/>
            <w:vAlign w:val="center"/>
          </w:tcPr>
          <w:p>
            <w:pPr>
              <w:spacing w:line="360" w:lineRule="auto"/>
              <w:jc w:val="center"/>
              <w:outlineLvl w:val="1"/>
              <w:rPr>
                <w:rFonts w:ascii="宋体" w:hAnsi="宋体"/>
                <w:szCs w:val="21"/>
              </w:rPr>
            </w:pPr>
            <w:r>
              <w:rPr>
                <w:rFonts w:hint="eastAsia" w:ascii="宋体" w:hAnsi="宋体"/>
                <w:szCs w:val="21"/>
              </w:rPr>
              <w:t>英语</w:t>
            </w:r>
          </w:p>
        </w:tc>
        <w:tc>
          <w:tcPr>
            <w:tcW w:w="1560" w:type="dxa"/>
            <w:vAlign w:val="center"/>
          </w:tcPr>
          <w:p>
            <w:pPr>
              <w:spacing w:line="360" w:lineRule="auto"/>
              <w:jc w:val="center"/>
              <w:outlineLvl w:val="1"/>
              <w:rPr>
                <w:rFonts w:ascii="宋体" w:hAnsi="宋体"/>
                <w:szCs w:val="21"/>
              </w:rPr>
            </w:pPr>
            <w:r>
              <w:rPr>
                <w:rFonts w:hint="eastAsia" w:ascii="宋体" w:hAnsi="宋体"/>
                <w:szCs w:val="21"/>
              </w:rPr>
              <w:t>课程目标</w:t>
            </w:r>
          </w:p>
        </w:tc>
        <w:tc>
          <w:tcPr>
            <w:tcW w:w="6520" w:type="dxa"/>
          </w:tcPr>
          <w:p>
            <w:pPr>
              <w:spacing w:line="360" w:lineRule="auto"/>
              <w:rPr>
                <w:rFonts w:ascii="宋体" w:hAnsi="宋体"/>
                <w:szCs w:val="21"/>
              </w:rPr>
            </w:pPr>
            <w:r>
              <w:rPr>
                <w:rFonts w:hint="eastAsia" w:ascii="宋体" w:hAnsi="宋体"/>
                <w:szCs w:val="21"/>
              </w:rPr>
              <w:t>（1）掌握基础语法和常用交际词汇，能进行简短实用的英语口头和书面交际，能够进行简单的交际。（2）能够应对生活、职场的社交，提高语言表达能力。（3）能够理解中西文化的差异，具有跨文化交际意识，增强文化自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cs="宋体"/>
                <w:bCs/>
                <w:szCs w:val="21"/>
              </w:rPr>
            </w:pPr>
            <w:r>
              <w:rPr>
                <w:rFonts w:hint="eastAsia" w:ascii="宋体" w:hAnsi="宋体"/>
                <w:szCs w:val="21"/>
              </w:rPr>
              <w:t>主要教学内容</w:t>
            </w:r>
          </w:p>
        </w:tc>
        <w:tc>
          <w:tcPr>
            <w:tcW w:w="6520" w:type="dxa"/>
          </w:tcPr>
          <w:p>
            <w:pPr>
              <w:spacing w:line="360" w:lineRule="auto"/>
              <w:rPr>
                <w:rFonts w:ascii="宋体" w:hAnsi="宋体"/>
                <w:szCs w:val="21"/>
              </w:rPr>
            </w:pPr>
            <w:r>
              <w:rPr>
                <w:rFonts w:hint="eastAsia" w:ascii="宋体" w:hAnsi="宋体"/>
                <w:szCs w:val="21"/>
              </w:rPr>
              <w:t>与他人沟通对话内容；生活、职场等短文阅读；简历等主题的应用文写作；系动词等语法点。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cs="宋体"/>
                <w:bCs/>
                <w:szCs w:val="21"/>
              </w:rPr>
            </w:pPr>
            <w:r>
              <w:rPr>
                <w:rFonts w:hint="eastAsia" w:ascii="宋体" w:hAnsi="宋体"/>
                <w:szCs w:val="21"/>
              </w:rPr>
              <w:t>教学要求</w:t>
            </w:r>
          </w:p>
        </w:tc>
        <w:tc>
          <w:tcPr>
            <w:tcW w:w="6520" w:type="dxa"/>
          </w:tcPr>
          <w:p>
            <w:pPr>
              <w:spacing w:line="360" w:lineRule="auto"/>
              <w:rPr>
                <w:rFonts w:ascii="宋体" w:hAnsi="宋体"/>
                <w:szCs w:val="21"/>
              </w:rPr>
            </w:pPr>
            <w:r>
              <w:rPr>
                <w:rFonts w:hint="eastAsia" w:ascii="宋体" w:hAnsi="宋体"/>
                <w:szCs w:val="21"/>
              </w:rPr>
              <w:t>通过阅读课文、讲解语法和设置不同的沟通交流、朗诵等活动场景，启发性教学，培养学生活学活用英语的能力，培养学生英语阅读理解、词汇辨析、课文分析、中英互译、沟通交流和写作能力。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360" w:lineRule="auto"/>
              <w:jc w:val="center"/>
              <w:outlineLvl w:val="1"/>
              <w:rPr>
                <w:rFonts w:ascii="宋体" w:hAnsi="宋体"/>
                <w:szCs w:val="21"/>
              </w:rPr>
            </w:pPr>
            <w:r>
              <w:rPr>
                <w:rFonts w:hint="eastAsia" w:ascii="宋体" w:hAnsi="宋体"/>
                <w:szCs w:val="21"/>
              </w:rPr>
              <w:t>5</w:t>
            </w:r>
          </w:p>
        </w:tc>
        <w:tc>
          <w:tcPr>
            <w:tcW w:w="1134" w:type="dxa"/>
            <w:vMerge w:val="restart"/>
            <w:vAlign w:val="center"/>
          </w:tcPr>
          <w:p>
            <w:pPr>
              <w:spacing w:line="360" w:lineRule="auto"/>
              <w:jc w:val="center"/>
              <w:outlineLvl w:val="1"/>
              <w:rPr>
                <w:rFonts w:ascii="宋体" w:hAnsi="宋体"/>
                <w:szCs w:val="21"/>
              </w:rPr>
            </w:pPr>
            <w:r>
              <w:rPr>
                <w:rFonts w:hint="eastAsia" w:ascii="宋体" w:hAnsi="宋体"/>
                <w:szCs w:val="21"/>
              </w:rPr>
              <w:t>计算机应用基础</w:t>
            </w:r>
          </w:p>
        </w:tc>
        <w:tc>
          <w:tcPr>
            <w:tcW w:w="1560" w:type="dxa"/>
            <w:vAlign w:val="center"/>
          </w:tcPr>
          <w:p>
            <w:pPr>
              <w:spacing w:line="360" w:lineRule="auto"/>
              <w:jc w:val="center"/>
              <w:outlineLvl w:val="1"/>
              <w:rPr>
                <w:rFonts w:ascii="宋体" w:hAnsi="宋体"/>
                <w:szCs w:val="21"/>
              </w:rPr>
            </w:pPr>
            <w:r>
              <w:rPr>
                <w:rFonts w:hint="eastAsia" w:ascii="宋体" w:hAnsi="宋体"/>
                <w:szCs w:val="21"/>
              </w:rPr>
              <w:t>课程目标</w:t>
            </w:r>
          </w:p>
        </w:tc>
        <w:tc>
          <w:tcPr>
            <w:tcW w:w="6520" w:type="dxa"/>
          </w:tcPr>
          <w:p>
            <w:pPr>
              <w:spacing w:line="360" w:lineRule="auto"/>
              <w:rPr>
                <w:rFonts w:ascii="宋体" w:hAnsi="宋体"/>
                <w:szCs w:val="21"/>
              </w:rPr>
            </w:pPr>
            <w:r>
              <w:rPr>
                <w:rFonts w:hint="eastAsia" w:ascii="宋体" w:hAnsi="宋体"/>
                <w:szCs w:val="21"/>
              </w:rPr>
              <w:t>（1）具备办公应用、网络应用、网络信息安全防范技术等方面的技能，具备大学生应有的信息素养和适应日后工作岗位的信息能力。（2）掌握医院信息系统的使用，并熟练操作。（3）具备网络安全意识，信息安全意识，提升信息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cs="宋体"/>
                <w:bCs/>
                <w:szCs w:val="21"/>
              </w:rPr>
            </w:pPr>
            <w:r>
              <w:rPr>
                <w:rFonts w:hint="eastAsia" w:ascii="宋体" w:hAnsi="宋体"/>
                <w:szCs w:val="21"/>
              </w:rPr>
              <w:t>主要教学内容</w:t>
            </w:r>
          </w:p>
        </w:tc>
        <w:tc>
          <w:tcPr>
            <w:tcW w:w="6520" w:type="dxa"/>
          </w:tcPr>
          <w:p>
            <w:pPr>
              <w:spacing w:line="360" w:lineRule="auto"/>
              <w:rPr>
                <w:rFonts w:ascii="宋体" w:hAnsi="宋体"/>
                <w:szCs w:val="21"/>
              </w:rPr>
            </w:pPr>
            <w:r>
              <w:rPr>
                <w:rFonts w:hint="eastAsia" w:ascii="宋体" w:hAnsi="宋体"/>
                <w:szCs w:val="21"/>
              </w:rPr>
              <w:t>计算机基础知识；中文操作系统；文字处理软件；电子表格软件；演示文稿制作软件；计算机网络基础；Internet应用；医院信息系统。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cs="宋体"/>
                <w:bCs/>
                <w:szCs w:val="21"/>
              </w:rPr>
            </w:pPr>
            <w:r>
              <w:rPr>
                <w:rFonts w:hint="eastAsia" w:ascii="宋体" w:hAnsi="宋体"/>
                <w:szCs w:val="21"/>
              </w:rPr>
              <w:t>教学要求</w:t>
            </w:r>
          </w:p>
        </w:tc>
        <w:tc>
          <w:tcPr>
            <w:tcW w:w="6520" w:type="dxa"/>
          </w:tcPr>
          <w:p>
            <w:pPr>
              <w:spacing w:line="360" w:lineRule="auto"/>
              <w:rPr>
                <w:rFonts w:ascii="宋体" w:hAnsi="宋体"/>
                <w:szCs w:val="21"/>
              </w:rPr>
            </w:pPr>
            <w:r>
              <w:rPr>
                <w:rFonts w:hint="eastAsia" w:ascii="宋体" w:hAnsi="宋体"/>
                <w:szCs w:val="21"/>
              </w:rPr>
              <w:t>通过多媒体、数字化教学、任务驱动教学、探究教学、案例教学、计算机实践教学等，使学生能够根据职业需求运用计算机，培养学生利用计算机依法进行信息技术活动的能力。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360" w:lineRule="auto"/>
              <w:jc w:val="center"/>
              <w:outlineLvl w:val="1"/>
              <w:rPr>
                <w:rFonts w:ascii="宋体" w:hAnsi="宋体"/>
                <w:szCs w:val="21"/>
              </w:rPr>
            </w:pPr>
            <w:r>
              <w:rPr>
                <w:rFonts w:hint="eastAsia" w:ascii="宋体" w:hAnsi="宋体"/>
                <w:szCs w:val="21"/>
              </w:rPr>
              <w:t>6</w:t>
            </w:r>
          </w:p>
        </w:tc>
        <w:tc>
          <w:tcPr>
            <w:tcW w:w="1134" w:type="dxa"/>
            <w:vMerge w:val="restart"/>
            <w:vAlign w:val="center"/>
          </w:tcPr>
          <w:p>
            <w:pPr>
              <w:spacing w:line="360" w:lineRule="auto"/>
              <w:jc w:val="center"/>
              <w:outlineLvl w:val="1"/>
              <w:rPr>
                <w:rFonts w:ascii="宋体" w:hAnsi="宋体"/>
                <w:szCs w:val="21"/>
              </w:rPr>
            </w:pPr>
            <w:r>
              <w:rPr>
                <w:rFonts w:hint="eastAsia" w:ascii="宋体" w:hAnsi="宋体"/>
                <w:szCs w:val="21"/>
              </w:rPr>
              <w:t>体育</w:t>
            </w:r>
          </w:p>
        </w:tc>
        <w:tc>
          <w:tcPr>
            <w:tcW w:w="1560" w:type="dxa"/>
            <w:vAlign w:val="center"/>
          </w:tcPr>
          <w:p>
            <w:pPr>
              <w:spacing w:line="360" w:lineRule="auto"/>
              <w:jc w:val="center"/>
              <w:outlineLvl w:val="1"/>
              <w:rPr>
                <w:rFonts w:ascii="宋体" w:hAnsi="宋体"/>
                <w:szCs w:val="21"/>
              </w:rPr>
            </w:pPr>
            <w:r>
              <w:rPr>
                <w:rFonts w:hint="eastAsia" w:ascii="宋体" w:hAnsi="宋体"/>
                <w:szCs w:val="21"/>
              </w:rPr>
              <w:t>课程目标</w:t>
            </w:r>
          </w:p>
        </w:tc>
        <w:tc>
          <w:tcPr>
            <w:tcW w:w="6520" w:type="dxa"/>
          </w:tcPr>
          <w:p>
            <w:pPr>
              <w:spacing w:line="360" w:lineRule="auto"/>
              <w:rPr>
                <w:rFonts w:ascii="宋体" w:hAnsi="宋体"/>
                <w:szCs w:val="21"/>
              </w:rPr>
            </w:pPr>
            <w:r>
              <w:rPr>
                <w:rFonts w:hint="eastAsia" w:ascii="宋体" w:hAnsi="宋体"/>
                <w:szCs w:val="21"/>
              </w:rPr>
              <w:t>（1）树立“健康第一”思想，把“育体”、“育心”放在首位。（2）能综合运用人体机能适应规律、超量恢复规律、动作技能形成规律、心理应激规律、认识规律及集体活动规律，掌握基本运动知识和1～2项运动技能。（3）培养学生正确的体育精神及竞争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cs="宋体"/>
                <w:bCs/>
                <w:szCs w:val="21"/>
              </w:rPr>
            </w:pPr>
            <w:r>
              <w:rPr>
                <w:rFonts w:hint="eastAsia" w:ascii="宋体" w:hAnsi="宋体"/>
                <w:szCs w:val="21"/>
              </w:rPr>
              <w:t>主要教学内容</w:t>
            </w:r>
          </w:p>
        </w:tc>
        <w:tc>
          <w:tcPr>
            <w:tcW w:w="6520" w:type="dxa"/>
          </w:tcPr>
          <w:p>
            <w:pPr>
              <w:spacing w:line="360" w:lineRule="auto"/>
              <w:rPr>
                <w:rFonts w:ascii="宋体" w:hAnsi="宋体"/>
                <w:szCs w:val="21"/>
              </w:rPr>
            </w:pPr>
            <w:r>
              <w:rPr>
                <w:rFonts w:hint="eastAsia" w:ascii="宋体" w:hAnsi="宋体"/>
                <w:szCs w:val="21"/>
              </w:rPr>
              <w:t>田径；篮球；排球；足球；乒乓球；羽毛球；网球；瑜伽；武术；引体向上；立定跳远；仰卧起坐；坐位体全屈等。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cs="宋体"/>
                <w:bCs/>
                <w:szCs w:val="21"/>
              </w:rPr>
            </w:pPr>
            <w:r>
              <w:rPr>
                <w:rFonts w:hint="eastAsia" w:ascii="宋体" w:hAnsi="宋体"/>
                <w:szCs w:val="21"/>
              </w:rPr>
              <w:t>教学要求</w:t>
            </w:r>
          </w:p>
        </w:tc>
        <w:tc>
          <w:tcPr>
            <w:tcW w:w="6520" w:type="dxa"/>
          </w:tcPr>
          <w:p>
            <w:pPr>
              <w:spacing w:line="360" w:lineRule="auto"/>
              <w:rPr>
                <w:rFonts w:ascii="宋体" w:hAnsi="宋体"/>
                <w:szCs w:val="21"/>
              </w:rPr>
            </w:pPr>
            <w:r>
              <w:rPr>
                <w:rFonts w:hint="eastAsia" w:ascii="宋体" w:hAnsi="宋体"/>
                <w:szCs w:val="21"/>
              </w:rPr>
              <w:t>将体育课程作为大学生身体锻炼的主要手段，通过合理的体育教育和科学的体育过程，实现促进身心和谐发展、思想品德教育、文化科学教育、生活和体育技能教育与身体活动的有机结合，将体育课程视为实施素质教育和培养全面发展人才的重要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360" w:lineRule="auto"/>
              <w:jc w:val="center"/>
              <w:outlineLvl w:val="1"/>
              <w:rPr>
                <w:rFonts w:ascii="宋体" w:hAnsi="宋体"/>
                <w:szCs w:val="21"/>
              </w:rPr>
            </w:pPr>
            <w:r>
              <w:rPr>
                <w:rFonts w:hint="eastAsia" w:ascii="宋体" w:hAnsi="宋体"/>
                <w:szCs w:val="21"/>
              </w:rPr>
              <w:t>7</w:t>
            </w:r>
          </w:p>
        </w:tc>
        <w:tc>
          <w:tcPr>
            <w:tcW w:w="1134" w:type="dxa"/>
            <w:vMerge w:val="restart"/>
            <w:vAlign w:val="center"/>
          </w:tcPr>
          <w:p>
            <w:pPr>
              <w:spacing w:line="360" w:lineRule="auto"/>
              <w:jc w:val="center"/>
              <w:outlineLvl w:val="1"/>
              <w:rPr>
                <w:rFonts w:ascii="宋体" w:hAnsi="宋体"/>
                <w:szCs w:val="21"/>
              </w:rPr>
            </w:pPr>
            <w:r>
              <w:rPr>
                <w:rFonts w:hint="eastAsia" w:ascii="宋体" w:hAnsi="宋体"/>
                <w:szCs w:val="21"/>
              </w:rPr>
              <w:t>心理健康教育</w:t>
            </w:r>
          </w:p>
        </w:tc>
        <w:tc>
          <w:tcPr>
            <w:tcW w:w="1560" w:type="dxa"/>
            <w:vAlign w:val="center"/>
          </w:tcPr>
          <w:p>
            <w:pPr>
              <w:spacing w:line="360" w:lineRule="auto"/>
              <w:jc w:val="center"/>
              <w:outlineLvl w:val="1"/>
              <w:rPr>
                <w:rFonts w:ascii="宋体" w:hAnsi="宋体"/>
                <w:szCs w:val="21"/>
              </w:rPr>
            </w:pPr>
            <w:r>
              <w:rPr>
                <w:rFonts w:hint="eastAsia" w:ascii="宋体" w:hAnsi="宋体"/>
                <w:szCs w:val="21"/>
              </w:rPr>
              <w:t>课程目标</w:t>
            </w:r>
          </w:p>
        </w:tc>
        <w:tc>
          <w:tcPr>
            <w:tcW w:w="6520" w:type="dxa"/>
          </w:tcPr>
          <w:p>
            <w:pPr>
              <w:spacing w:line="360" w:lineRule="auto"/>
              <w:rPr>
                <w:rFonts w:ascii="宋体" w:hAnsi="宋体"/>
                <w:szCs w:val="21"/>
              </w:rPr>
            </w:pPr>
            <w:r>
              <w:rPr>
                <w:rFonts w:hint="eastAsia" w:ascii="宋体" w:hAnsi="宋体"/>
                <w:szCs w:val="21"/>
              </w:rPr>
              <w:t>（1）掌握常见心理问题的发展特征及及自我调适的基本方法。（2）学会识别、分析和解决心理问题，能自我维护心理健康。（3）具有良好的健康生活态度和完善的人格。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cs="宋体"/>
                <w:bCs/>
                <w:szCs w:val="21"/>
              </w:rPr>
            </w:pPr>
            <w:r>
              <w:rPr>
                <w:rFonts w:hint="eastAsia" w:ascii="宋体" w:hAnsi="宋体"/>
                <w:szCs w:val="21"/>
              </w:rPr>
              <w:t>主要教学内容</w:t>
            </w:r>
          </w:p>
        </w:tc>
        <w:tc>
          <w:tcPr>
            <w:tcW w:w="6520" w:type="dxa"/>
          </w:tcPr>
          <w:p>
            <w:pPr>
              <w:spacing w:line="360" w:lineRule="auto"/>
              <w:rPr>
                <w:rFonts w:ascii="宋体" w:hAnsi="宋体"/>
                <w:szCs w:val="21"/>
              </w:rPr>
            </w:pPr>
            <w:r>
              <w:rPr>
                <w:rFonts w:hint="eastAsia" w:ascii="宋体" w:hAnsi="宋体"/>
                <w:szCs w:val="21"/>
              </w:rPr>
              <w:t>心理健康基础知识；人格发展；学习心理；情绪管理；人际交往；恋爱与性；自我意识；压力管理与挫折应对。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cs="宋体"/>
                <w:bCs/>
                <w:szCs w:val="21"/>
              </w:rPr>
            </w:pPr>
            <w:r>
              <w:rPr>
                <w:rFonts w:hint="eastAsia" w:ascii="宋体" w:hAnsi="宋体"/>
                <w:szCs w:val="21"/>
              </w:rPr>
              <w:t>教学要求</w:t>
            </w:r>
          </w:p>
        </w:tc>
        <w:tc>
          <w:tcPr>
            <w:tcW w:w="6520" w:type="dxa"/>
          </w:tcPr>
          <w:p>
            <w:pPr>
              <w:spacing w:line="360" w:lineRule="auto"/>
              <w:rPr>
                <w:rFonts w:ascii="宋体" w:hAnsi="宋体"/>
                <w:szCs w:val="21"/>
              </w:rPr>
            </w:pPr>
            <w:r>
              <w:rPr>
                <w:rFonts w:hint="eastAsia" w:ascii="宋体" w:hAnsi="宋体"/>
                <w:szCs w:val="21"/>
              </w:rPr>
              <w:t>结合学生常见的心理问题，采用知识讲授、体验训练等教学手段，使学生认识心理行为对健康的影响，并有针对性的心理辅导，如心理调适作业等，促进学生心理健康。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360" w:lineRule="auto"/>
              <w:jc w:val="center"/>
              <w:outlineLvl w:val="1"/>
              <w:rPr>
                <w:rFonts w:ascii="宋体" w:hAnsi="宋体"/>
                <w:szCs w:val="21"/>
              </w:rPr>
            </w:pPr>
            <w:r>
              <w:rPr>
                <w:rFonts w:hint="eastAsia" w:ascii="宋体" w:hAnsi="宋体"/>
                <w:szCs w:val="21"/>
              </w:rPr>
              <w:t>8</w:t>
            </w:r>
          </w:p>
        </w:tc>
        <w:tc>
          <w:tcPr>
            <w:tcW w:w="1134" w:type="dxa"/>
            <w:vMerge w:val="restart"/>
            <w:vAlign w:val="center"/>
          </w:tcPr>
          <w:p>
            <w:pPr>
              <w:spacing w:line="360" w:lineRule="auto"/>
              <w:jc w:val="center"/>
              <w:outlineLvl w:val="1"/>
              <w:rPr>
                <w:rFonts w:ascii="宋体" w:hAnsi="宋体"/>
                <w:szCs w:val="21"/>
              </w:rPr>
            </w:pPr>
            <w:r>
              <w:rPr>
                <w:rFonts w:hint="eastAsia" w:ascii="宋体" w:hAnsi="宋体"/>
                <w:szCs w:val="21"/>
              </w:rPr>
              <w:t>军事理论和技能</w:t>
            </w:r>
          </w:p>
        </w:tc>
        <w:tc>
          <w:tcPr>
            <w:tcW w:w="1560" w:type="dxa"/>
            <w:vAlign w:val="center"/>
          </w:tcPr>
          <w:p>
            <w:pPr>
              <w:spacing w:line="360" w:lineRule="auto"/>
              <w:jc w:val="center"/>
              <w:outlineLvl w:val="1"/>
              <w:rPr>
                <w:rFonts w:ascii="宋体" w:hAnsi="宋体"/>
                <w:szCs w:val="21"/>
              </w:rPr>
            </w:pPr>
            <w:r>
              <w:rPr>
                <w:rFonts w:hint="eastAsia" w:ascii="宋体" w:hAnsi="宋体"/>
                <w:szCs w:val="21"/>
              </w:rPr>
              <w:t>课程目标</w:t>
            </w:r>
          </w:p>
        </w:tc>
        <w:tc>
          <w:tcPr>
            <w:tcW w:w="6520" w:type="dxa"/>
          </w:tcPr>
          <w:p>
            <w:pPr>
              <w:spacing w:line="360" w:lineRule="auto"/>
              <w:rPr>
                <w:rFonts w:ascii="宋体" w:hAnsi="宋体"/>
                <w:szCs w:val="21"/>
              </w:rPr>
            </w:pPr>
            <w:r>
              <w:rPr>
                <w:rFonts w:hint="eastAsia" w:ascii="宋体" w:hAnsi="宋体"/>
                <w:szCs w:val="21"/>
              </w:rPr>
              <w:t>（1）了解最新军事科技、军事动态、军事热点。（2）掌握军事基础知识和基本技能，具有国防观念，树立总体国家安全意识和忧患危机意识。（3）弘扬爱国主义精神、传承红色基因、具有国防综合素质。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cs="宋体"/>
                <w:bCs/>
                <w:szCs w:val="21"/>
              </w:rPr>
            </w:pPr>
            <w:r>
              <w:rPr>
                <w:rFonts w:hint="eastAsia" w:ascii="宋体" w:hAnsi="宋体"/>
                <w:szCs w:val="21"/>
              </w:rPr>
              <w:t>主要教学内容</w:t>
            </w:r>
          </w:p>
        </w:tc>
        <w:tc>
          <w:tcPr>
            <w:tcW w:w="6520" w:type="dxa"/>
          </w:tcPr>
          <w:p>
            <w:pPr>
              <w:spacing w:line="360" w:lineRule="auto"/>
              <w:rPr>
                <w:rFonts w:ascii="宋体" w:hAnsi="宋体"/>
                <w:szCs w:val="21"/>
              </w:rPr>
            </w:pPr>
            <w:r>
              <w:rPr>
                <w:rFonts w:hint="eastAsia" w:ascii="宋体" w:hAnsi="宋体"/>
                <w:szCs w:val="21"/>
              </w:rPr>
              <w:t>中国国防；国家安全；军事思想；现代战争；信息化装备；军事技能。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cs="宋体"/>
                <w:bCs/>
                <w:szCs w:val="21"/>
              </w:rPr>
            </w:pPr>
            <w:r>
              <w:rPr>
                <w:rFonts w:hint="eastAsia" w:ascii="宋体" w:hAnsi="宋体"/>
                <w:szCs w:val="21"/>
              </w:rPr>
              <w:t>教学要求</w:t>
            </w:r>
          </w:p>
        </w:tc>
        <w:tc>
          <w:tcPr>
            <w:tcW w:w="6520" w:type="dxa"/>
          </w:tcPr>
          <w:p>
            <w:pPr>
              <w:spacing w:line="360" w:lineRule="auto"/>
              <w:rPr>
                <w:rFonts w:ascii="宋体" w:hAnsi="宋体"/>
                <w:szCs w:val="21"/>
              </w:rPr>
            </w:pPr>
            <w:r>
              <w:rPr>
                <w:rFonts w:hint="eastAsia" w:ascii="宋体" w:hAnsi="宋体"/>
                <w:szCs w:val="21"/>
              </w:rPr>
              <w:t>通过军训、军事理论讲解等，关注最新的军事科技和军事动态，以及军事热点，拓宽学生国防教育知识面，同时潜移默化地浸润爱国主义和民族自豪感、培养民族凝聚力。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360" w:lineRule="auto"/>
              <w:jc w:val="center"/>
              <w:outlineLvl w:val="1"/>
              <w:rPr>
                <w:rFonts w:ascii="宋体" w:hAnsi="宋体"/>
                <w:szCs w:val="21"/>
              </w:rPr>
            </w:pPr>
            <w:r>
              <w:rPr>
                <w:rFonts w:hint="eastAsia" w:ascii="宋体" w:hAnsi="宋体"/>
                <w:szCs w:val="21"/>
              </w:rPr>
              <w:t>9</w:t>
            </w:r>
          </w:p>
        </w:tc>
        <w:tc>
          <w:tcPr>
            <w:tcW w:w="1134" w:type="dxa"/>
            <w:vMerge w:val="restart"/>
            <w:vAlign w:val="center"/>
          </w:tcPr>
          <w:p>
            <w:pPr>
              <w:spacing w:line="360" w:lineRule="auto"/>
              <w:jc w:val="center"/>
              <w:outlineLvl w:val="1"/>
              <w:rPr>
                <w:rFonts w:ascii="宋体" w:hAnsi="宋体"/>
                <w:szCs w:val="21"/>
              </w:rPr>
            </w:pPr>
            <w:r>
              <w:rPr>
                <w:rFonts w:hint="eastAsia" w:ascii="宋体" w:hAnsi="宋体"/>
                <w:szCs w:val="21"/>
              </w:rPr>
              <w:t>职业发展与就业指导</w:t>
            </w:r>
          </w:p>
        </w:tc>
        <w:tc>
          <w:tcPr>
            <w:tcW w:w="1560" w:type="dxa"/>
            <w:vAlign w:val="center"/>
          </w:tcPr>
          <w:p>
            <w:pPr>
              <w:spacing w:line="360" w:lineRule="auto"/>
              <w:jc w:val="center"/>
              <w:outlineLvl w:val="1"/>
              <w:rPr>
                <w:rFonts w:ascii="宋体" w:hAnsi="宋体"/>
                <w:szCs w:val="21"/>
              </w:rPr>
            </w:pPr>
            <w:r>
              <w:rPr>
                <w:rFonts w:hint="eastAsia" w:ascii="宋体" w:hAnsi="宋体"/>
                <w:szCs w:val="21"/>
              </w:rPr>
              <w:t>课程目标</w:t>
            </w:r>
          </w:p>
        </w:tc>
        <w:tc>
          <w:tcPr>
            <w:tcW w:w="6520" w:type="dxa"/>
          </w:tcPr>
          <w:p>
            <w:pPr>
              <w:spacing w:line="360" w:lineRule="auto"/>
              <w:rPr>
                <w:rFonts w:ascii="宋体" w:hAnsi="宋体"/>
                <w:szCs w:val="21"/>
              </w:rPr>
            </w:pPr>
            <w:r>
              <w:rPr>
                <w:rFonts w:hint="eastAsia" w:ascii="宋体" w:hAnsi="宋体"/>
                <w:szCs w:val="21"/>
              </w:rPr>
              <w:t>（1）能够运用本课程的知识制定职业生涯规划书，具有求职面试能力。（2）学会撰写简历，掌握面试技巧。（3）树立积极正确的择业观和就业观，积极主动适应职场的变化和发展。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cs="宋体"/>
                <w:bCs/>
                <w:szCs w:val="21"/>
              </w:rPr>
            </w:pPr>
            <w:r>
              <w:rPr>
                <w:rFonts w:hint="eastAsia" w:ascii="宋体" w:hAnsi="宋体"/>
                <w:szCs w:val="21"/>
              </w:rPr>
              <w:t>主要教学内容</w:t>
            </w:r>
          </w:p>
        </w:tc>
        <w:tc>
          <w:tcPr>
            <w:tcW w:w="6520" w:type="dxa"/>
          </w:tcPr>
          <w:p>
            <w:pPr>
              <w:spacing w:line="360" w:lineRule="auto"/>
              <w:rPr>
                <w:rFonts w:ascii="宋体" w:hAnsi="宋体"/>
                <w:szCs w:val="21"/>
              </w:rPr>
            </w:pPr>
            <w:r>
              <w:rPr>
                <w:rFonts w:hint="eastAsia" w:ascii="宋体" w:hAnsi="宋体"/>
                <w:szCs w:val="21"/>
              </w:rPr>
              <w:t>职业生涯规划；求职准备；面试技巧；未来职场适应与职业发展。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cs="宋体"/>
                <w:bCs/>
                <w:szCs w:val="21"/>
              </w:rPr>
            </w:pPr>
            <w:r>
              <w:rPr>
                <w:rFonts w:hint="eastAsia" w:ascii="宋体" w:hAnsi="宋体"/>
                <w:szCs w:val="21"/>
              </w:rPr>
              <w:t>教学要求</w:t>
            </w:r>
          </w:p>
        </w:tc>
        <w:tc>
          <w:tcPr>
            <w:tcW w:w="6520" w:type="dxa"/>
          </w:tcPr>
          <w:p>
            <w:pPr>
              <w:spacing w:line="360" w:lineRule="auto"/>
              <w:rPr>
                <w:rFonts w:ascii="宋体" w:hAnsi="宋体"/>
                <w:szCs w:val="21"/>
              </w:rPr>
            </w:pPr>
            <w:r>
              <w:rPr>
                <w:rFonts w:hint="eastAsia" w:ascii="宋体" w:hAnsi="宋体"/>
                <w:szCs w:val="21"/>
              </w:rPr>
              <w:t>通过课堂讲授、分组调查、案例讨论、优秀毕业生报告与调研、职业生涯规划比赛、社会实践等，培养学生专业兴趣，使学生更好地了解自己，建立适合自己的职业生涯规划。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360" w:lineRule="auto"/>
              <w:jc w:val="center"/>
              <w:outlineLvl w:val="1"/>
              <w:rPr>
                <w:rFonts w:ascii="宋体" w:hAnsi="宋体"/>
                <w:szCs w:val="21"/>
              </w:rPr>
            </w:pPr>
            <w:r>
              <w:rPr>
                <w:rFonts w:hint="eastAsia" w:ascii="宋体" w:hAnsi="宋体"/>
                <w:szCs w:val="21"/>
              </w:rPr>
              <w:t>10</w:t>
            </w:r>
          </w:p>
        </w:tc>
        <w:tc>
          <w:tcPr>
            <w:tcW w:w="1134" w:type="dxa"/>
            <w:vMerge w:val="restart"/>
            <w:vAlign w:val="center"/>
          </w:tcPr>
          <w:p>
            <w:pPr>
              <w:spacing w:line="360" w:lineRule="auto"/>
              <w:jc w:val="center"/>
              <w:outlineLvl w:val="1"/>
              <w:rPr>
                <w:rFonts w:ascii="宋体" w:hAnsi="宋体"/>
                <w:szCs w:val="21"/>
              </w:rPr>
            </w:pPr>
            <w:r>
              <w:rPr>
                <w:rFonts w:hint="eastAsia" w:ascii="宋体" w:hAnsi="宋体"/>
                <w:szCs w:val="21"/>
              </w:rPr>
              <w:t>创新创业教育</w:t>
            </w:r>
          </w:p>
        </w:tc>
        <w:tc>
          <w:tcPr>
            <w:tcW w:w="1560" w:type="dxa"/>
            <w:vAlign w:val="center"/>
          </w:tcPr>
          <w:p>
            <w:pPr>
              <w:spacing w:line="360" w:lineRule="auto"/>
              <w:jc w:val="center"/>
              <w:outlineLvl w:val="1"/>
              <w:rPr>
                <w:rFonts w:ascii="宋体" w:hAnsi="宋体"/>
                <w:szCs w:val="21"/>
              </w:rPr>
            </w:pPr>
            <w:r>
              <w:rPr>
                <w:rFonts w:hint="eastAsia" w:ascii="宋体" w:hAnsi="宋体"/>
                <w:szCs w:val="21"/>
              </w:rPr>
              <w:t>课程目标</w:t>
            </w:r>
          </w:p>
        </w:tc>
        <w:tc>
          <w:tcPr>
            <w:tcW w:w="6520" w:type="dxa"/>
          </w:tcPr>
          <w:p>
            <w:pPr>
              <w:spacing w:line="360" w:lineRule="auto"/>
              <w:rPr>
                <w:rFonts w:ascii="宋体" w:hAnsi="宋体"/>
                <w:szCs w:val="21"/>
              </w:rPr>
            </w:pPr>
            <w:r>
              <w:rPr>
                <w:rFonts w:hint="eastAsia" w:ascii="宋体" w:hAnsi="宋体"/>
                <w:szCs w:val="21"/>
              </w:rPr>
              <w:t>（1）掌握创新创业基本知识和技能，熟悉创业流程，了解创新创业法规和政策。（2）树立正确的创业观念。（3）具有社会责任感、创新精神和创业能力，促进就业、创业、创新能力的全面发展。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cs="宋体"/>
                <w:bCs/>
                <w:szCs w:val="21"/>
              </w:rPr>
            </w:pPr>
            <w:r>
              <w:rPr>
                <w:rFonts w:hint="eastAsia" w:ascii="宋体" w:hAnsi="宋体"/>
                <w:szCs w:val="21"/>
              </w:rPr>
              <w:t>主要教学内容</w:t>
            </w:r>
          </w:p>
        </w:tc>
        <w:tc>
          <w:tcPr>
            <w:tcW w:w="6520" w:type="dxa"/>
          </w:tcPr>
          <w:p>
            <w:pPr>
              <w:spacing w:line="360" w:lineRule="auto"/>
              <w:rPr>
                <w:rFonts w:ascii="宋体" w:hAnsi="宋体"/>
                <w:szCs w:val="21"/>
              </w:rPr>
            </w:pPr>
            <w:r>
              <w:rPr>
                <w:rFonts w:hint="eastAsia" w:ascii="宋体" w:hAnsi="宋体"/>
                <w:szCs w:val="21"/>
              </w:rPr>
              <w:t>创新精神创业精神；创业项目；创业计划；经营方案；创业基金；投资风险；创业团队；初期营销、财务管理和客户管理。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cs="宋体"/>
                <w:bCs/>
                <w:szCs w:val="21"/>
              </w:rPr>
            </w:pPr>
            <w:r>
              <w:rPr>
                <w:rFonts w:hint="eastAsia" w:ascii="宋体" w:hAnsi="宋体"/>
                <w:szCs w:val="21"/>
              </w:rPr>
              <w:t>教学要求</w:t>
            </w:r>
          </w:p>
        </w:tc>
        <w:tc>
          <w:tcPr>
            <w:tcW w:w="6520" w:type="dxa"/>
          </w:tcPr>
          <w:p>
            <w:pPr>
              <w:spacing w:line="360" w:lineRule="auto"/>
              <w:rPr>
                <w:rFonts w:ascii="宋体" w:hAnsi="宋体"/>
                <w:szCs w:val="21"/>
              </w:rPr>
            </w:pPr>
            <w:r>
              <w:rPr>
                <w:rFonts w:hint="eastAsia" w:ascii="宋体" w:hAnsi="宋体"/>
                <w:szCs w:val="21"/>
              </w:rPr>
              <w:t>以探究式学习为主，从不同角度提出问题，激发学生创新创业意识，开展学生实践、能力培养、体验参与为主的创业教学活动，培养学生创新创业能力。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360" w:lineRule="auto"/>
              <w:jc w:val="center"/>
              <w:outlineLvl w:val="1"/>
              <w:rPr>
                <w:rFonts w:ascii="宋体" w:hAnsi="宋体"/>
                <w:szCs w:val="21"/>
              </w:rPr>
            </w:pPr>
            <w:r>
              <w:rPr>
                <w:rFonts w:hint="eastAsia" w:ascii="宋体" w:hAnsi="宋体"/>
                <w:szCs w:val="21"/>
              </w:rPr>
              <w:t>11</w:t>
            </w:r>
          </w:p>
        </w:tc>
        <w:tc>
          <w:tcPr>
            <w:tcW w:w="1134" w:type="dxa"/>
            <w:vMerge w:val="restart"/>
            <w:vAlign w:val="center"/>
          </w:tcPr>
          <w:p>
            <w:pPr>
              <w:spacing w:line="360" w:lineRule="auto"/>
              <w:jc w:val="center"/>
              <w:outlineLvl w:val="1"/>
              <w:rPr>
                <w:rFonts w:ascii="宋体" w:hAnsi="宋体"/>
                <w:szCs w:val="21"/>
              </w:rPr>
            </w:pPr>
            <w:r>
              <w:rPr>
                <w:rFonts w:hint="eastAsia" w:ascii="宋体" w:hAnsi="宋体"/>
                <w:szCs w:val="21"/>
              </w:rPr>
              <w:t>健康教育</w:t>
            </w:r>
          </w:p>
        </w:tc>
        <w:tc>
          <w:tcPr>
            <w:tcW w:w="1560" w:type="dxa"/>
            <w:vAlign w:val="center"/>
          </w:tcPr>
          <w:p>
            <w:pPr>
              <w:spacing w:line="360" w:lineRule="auto"/>
              <w:jc w:val="center"/>
              <w:outlineLvl w:val="1"/>
              <w:rPr>
                <w:rFonts w:ascii="宋体" w:hAnsi="宋体"/>
                <w:szCs w:val="21"/>
              </w:rPr>
            </w:pPr>
            <w:r>
              <w:rPr>
                <w:rFonts w:hint="eastAsia" w:ascii="宋体" w:hAnsi="宋体"/>
                <w:szCs w:val="21"/>
              </w:rPr>
              <w:t>课程目标</w:t>
            </w:r>
          </w:p>
        </w:tc>
        <w:tc>
          <w:tcPr>
            <w:tcW w:w="6520" w:type="dxa"/>
          </w:tcPr>
          <w:p>
            <w:pPr>
              <w:spacing w:line="360" w:lineRule="auto"/>
              <w:rPr>
                <w:rFonts w:ascii="宋体" w:hAnsi="宋体"/>
                <w:szCs w:val="21"/>
              </w:rPr>
            </w:pPr>
            <w:r>
              <w:rPr>
                <w:rFonts w:hint="eastAsia" w:ascii="宋体" w:hAnsi="宋体"/>
                <w:szCs w:val="21"/>
              </w:rPr>
              <w:t>（1）掌握身心健康相关知识。（2）树立科学健康观，养成良好的健康行为和习惯。（3）能以科学的态度、方法认识和处理健康问题，促进自我身心健康的发展。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主要教学内容</w:t>
            </w:r>
          </w:p>
        </w:tc>
        <w:tc>
          <w:tcPr>
            <w:tcW w:w="6520" w:type="dxa"/>
          </w:tcPr>
          <w:p>
            <w:pPr>
              <w:spacing w:line="360" w:lineRule="auto"/>
              <w:rPr>
                <w:rFonts w:ascii="宋体" w:hAnsi="宋体"/>
                <w:szCs w:val="21"/>
              </w:rPr>
            </w:pPr>
            <w:r>
              <w:rPr>
                <w:rFonts w:hint="eastAsia" w:ascii="宋体" w:hAnsi="宋体"/>
                <w:szCs w:val="21"/>
              </w:rPr>
              <w:t>健康行为与生活方式；疾病预防；生长发育与青春期保健；安全应急与避险。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教学要求</w:t>
            </w:r>
          </w:p>
        </w:tc>
        <w:tc>
          <w:tcPr>
            <w:tcW w:w="6520" w:type="dxa"/>
          </w:tcPr>
          <w:p>
            <w:pPr>
              <w:spacing w:line="360" w:lineRule="auto"/>
              <w:rPr>
                <w:rFonts w:ascii="宋体" w:hAnsi="宋体"/>
                <w:szCs w:val="21"/>
              </w:rPr>
            </w:pPr>
            <w:r>
              <w:rPr>
                <w:rFonts w:hint="eastAsia" w:ascii="宋体" w:hAnsi="宋体"/>
                <w:szCs w:val="21"/>
              </w:rPr>
              <w:t>通过课程讲解、讲座、社团活动、社会实践等，结合学生日常生活、学习中的身心健康问题，运用图画、模型、故事、游戏等手段，促进学生良好卫生行为和健康习惯的养成，培养学生自我保健意识。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360" w:lineRule="auto"/>
              <w:jc w:val="center"/>
              <w:outlineLvl w:val="1"/>
              <w:rPr>
                <w:rFonts w:ascii="宋体" w:hAnsi="宋体"/>
                <w:szCs w:val="21"/>
              </w:rPr>
            </w:pPr>
            <w:r>
              <w:rPr>
                <w:rFonts w:hint="eastAsia" w:ascii="宋体" w:hAnsi="宋体"/>
                <w:szCs w:val="21"/>
              </w:rPr>
              <w:t>12</w:t>
            </w:r>
          </w:p>
        </w:tc>
        <w:tc>
          <w:tcPr>
            <w:tcW w:w="1134" w:type="dxa"/>
            <w:vMerge w:val="restart"/>
            <w:vAlign w:val="center"/>
          </w:tcPr>
          <w:p>
            <w:pPr>
              <w:spacing w:line="360" w:lineRule="auto"/>
              <w:jc w:val="center"/>
              <w:outlineLvl w:val="1"/>
              <w:rPr>
                <w:rFonts w:ascii="宋体" w:hAnsi="宋体"/>
                <w:szCs w:val="21"/>
              </w:rPr>
            </w:pPr>
            <w:r>
              <w:rPr>
                <w:rFonts w:hint="eastAsia" w:ascii="宋体" w:hAnsi="宋体"/>
                <w:szCs w:val="21"/>
              </w:rPr>
              <w:t>美育</w:t>
            </w:r>
          </w:p>
        </w:tc>
        <w:tc>
          <w:tcPr>
            <w:tcW w:w="1560" w:type="dxa"/>
            <w:vAlign w:val="center"/>
          </w:tcPr>
          <w:p>
            <w:pPr>
              <w:spacing w:line="360" w:lineRule="auto"/>
              <w:jc w:val="center"/>
              <w:outlineLvl w:val="1"/>
              <w:rPr>
                <w:rFonts w:ascii="宋体" w:hAnsi="宋体"/>
                <w:szCs w:val="21"/>
              </w:rPr>
            </w:pPr>
            <w:r>
              <w:rPr>
                <w:rFonts w:hint="eastAsia" w:ascii="宋体" w:hAnsi="宋体"/>
                <w:szCs w:val="21"/>
              </w:rPr>
              <w:t>课程目标</w:t>
            </w:r>
          </w:p>
        </w:tc>
        <w:tc>
          <w:tcPr>
            <w:tcW w:w="6520" w:type="dxa"/>
          </w:tcPr>
          <w:p>
            <w:pPr>
              <w:spacing w:line="360" w:lineRule="auto"/>
              <w:rPr>
                <w:rFonts w:ascii="宋体" w:hAnsi="宋体"/>
                <w:szCs w:val="21"/>
              </w:rPr>
            </w:pPr>
            <w:r>
              <w:rPr>
                <w:rFonts w:hint="eastAsia"/>
                <w:szCs w:val="21"/>
              </w:rPr>
              <w:t>（1）了解中外优秀艺术成果，理解并尊重多元文化美。（2）树立正确的审美观念，具有高雅的审美品位，提高人文素养，能够形成1～2项艺术特长或爱好。（3）具有感受美、表现美、鉴赏美、创造美的。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主要教学内容</w:t>
            </w:r>
          </w:p>
        </w:tc>
        <w:tc>
          <w:tcPr>
            <w:tcW w:w="6520" w:type="dxa"/>
          </w:tcPr>
          <w:p>
            <w:pPr>
              <w:spacing w:line="360" w:lineRule="auto"/>
              <w:rPr>
                <w:rFonts w:ascii="宋体" w:hAnsi="宋体"/>
                <w:szCs w:val="21"/>
              </w:rPr>
            </w:pPr>
            <w:r>
              <w:rPr>
                <w:rFonts w:hint="eastAsia" w:ascii="宋体" w:hAnsi="宋体"/>
                <w:szCs w:val="21"/>
              </w:rPr>
              <w:t>美育的意义、任务；美育与德育、智育、体育的关系；美的本质、特征；自然美与社会美；艺术美与科技美；文艺欣赏基础理论。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教学要求</w:t>
            </w:r>
          </w:p>
        </w:tc>
        <w:tc>
          <w:tcPr>
            <w:tcW w:w="6520" w:type="dxa"/>
          </w:tcPr>
          <w:p>
            <w:pPr>
              <w:spacing w:line="360" w:lineRule="auto"/>
              <w:rPr>
                <w:rFonts w:ascii="宋体" w:hAnsi="宋体"/>
                <w:szCs w:val="21"/>
              </w:rPr>
            </w:pPr>
            <w:r>
              <w:rPr>
                <w:rFonts w:hint="eastAsia" w:ascii="宋体" w:hAnsi="宋体"/>
                <w:szCs w:val="21"/>
              </w:rPr>
              <w:t>通过课程讲解、讲座、社团活动、数字化等，展现不同领域的美感；开展观赏演出、参观展览、分析文学或影视作品等审美实践活动等，鼓励学生发现美、交流美，并给学生提供创造美、展示美的平台。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360" w:lineRule="auto"/>
              <w:jc w:val="center"/>
              <w:outlineLvl w:val="1"/>
              <w:rPr>
                <w:rFonts w:ascii="宋体" w:hAnsi="宋体"/>
                <w:szCs w:val="21"/>
              </w:rPr>
            </w:pPr>
            <w:r>
              <w:rPr>
                <w:rFonts w:hint="eastAsia" w:ascii="宋体" w:hAnsi="宋体"/>
                <w:szCs w:val="21"/>
              </w:rPr>
              <w:t>13</w:t>
            </w:r>
          </w:p>
        </w:tc>
        <w:tc>
          <w:tcPr>
            <w:tcW w:w="1134" w:type="dxa"/>
            <w:vMerge w:val="restart"/>
            <w:vAlign w:val="center"/>
          </w:tcPr>
          <w:p>
            <w:pPr>
              <w:spacing w:line="360" w:lineRule="auto"/>
              <w:jc w:val="center"/>
              <w:outlineLvl w:val="1"/>
              <w:rPr>
                <w:rFonts w:ascii="宋体" w:hAnsi="宋体"/>
                <w:szCs w:val="21"/>
              </w:rPr>
            </w:pPr>
            <w:r>
              <w:rPr>
                <w:rFonts w:hint="eastAsia" w:ascii="宋体" w:hAnsi="宋体"/>
                <w:szCs w:val="21"/>
              </w:rPr>
              <w:t>劳动</w:t>
            </w:r>
          </w:p>
        </w:tc>
        <w:tc>
          <w:tcPr>
            <w:tcW w:w="1560" w:type="dxa"/>
            <w:vAlign w:val="center"/>
          </w:tcPr>
          <w:p>
            <w:pPr>
              <w:spacing w:line="360" w:lineRule="auto"/>
              <w:jc w:val="center"/>
              <w:outlineLvl w:val="1"/>
              <w:rPr>
                <w:rFonts w:ascii="宋体" w:hAnsi="宋体"/>
                <w:szCs w:val="21"/>
              </w:rPr>
            </w:pPr>
            <w:r>
              <w:rPr>
                <w:rFonts w:hint="eastAsia" w:ascii="宋体" w:hAnsi="宋体"/>
                <w:szCs w:val="21"/>
              </w:rPr>
              <w:t>课程目标</w:t>
            </w:r>
          </w:p>
        </w:tc>
        <w:tc>
          <w:tcPr>
            <w:tcW w:w="6520" w:type="dxa"/>
          </w:tcPr>
          <w:p>
            <w:pPr>
              <w:spacing w:line="360" w:lineRule="auto"/>
              <w:rPr>
                <w:rFonts w:ascii="宋体" w:hAnsi="宋体"/>
                <w:szCs w:val="21"/>
              </w:rPr>
            </w:pPr>
            <w:r>
              <w:rPr>
                <w:rFonts w:hint="eastAsia" w:ascii="宋体" w:hAnsi="宋体"/>
                <w:szCs w:val="21"/>
              </w:rPr>
              <w:t>(1)树立正确的劳动观，掌握劳动技能，具有团结协作、自我管理能力。(2) 树立正确的人生观、价值观和世界观, 发扬艰苦奋斗、吃苦耐劳的优良传统。（3）树立社会主义核心价值观，具有奉献、友爱、互助、进步的劳动精神。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主要教学内容</w:t>
            </w:r>
          </w:p>
        </w:tc>
        <w:tc>
          <w:tcPr>
            <w:tcW w:w="6520" w:type="dxa"/>
          </w:tcPr>
          <w:p>
            <w:pPr>
              <w:spacing w:line="360" w:lineRule="auto"/>
              <w:rPr>
                <w:rFonts w:ascii="宋体" w:hAnsi="宋体"/>
                <w:szCs w:val="21"/>
              </w:rPr>
            </w:pPr>
            <w:r>
              <w:rPr>
                <w:rFonts w:hint="eastAsia" w:ascii="宋体" w:hAnsi="宋体"/>
                <w:szCs w:val="21"/>
              </w:rPr>
              <w:t>劳动和劳动安全知识；劳动工具、劳保用品的正确使用和维护；劳动态度、团队精神、责任心的重要意义；创建卫生文明城市等劳动服务。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教学要求</w:t>
            </w:r>
          </w:p>
        </w:tc>
        <w:tc>
          <w:tcPr>
            <w:tcW w:w="6520" w:type="dxa"/>
          </w:tcPr>
          <w:p>
            <w:pPr>
              <w:spacing w:line="360" w:lineRule="auto"/>
              <w:rPr>
                <w:rFonts w:ascii="宋体" w:hAnsi="宋体"/>
                <w:szCs w:val="21"/>
              </w:rPr>
            </w:pPr>
            <w:r>
              <w:rPr>
                <w:rFonts w:hint="eastAsia" w:ascii="宋体" w:hAnsi="宋体"/>
                <w:szCs w:val="21"/>
              </w:rPr>
              <w:t>讲解劳动安全、劳动态度、责任心、团队的意义，通过劳动实践，培养学生良好的工作习惯和团队意识、较强的责任感和爱岗敬业的职业素质。鼓励学生积极参加劳动服务，使学生在服务社会、帮助他人的过程中健康成长。</w:t>
            </w:r>
          </w:p>
        </w:tc>
      </w:tr>
    </w:tbl>
    <w:p>
      <w:pPr>
        <w:spacing w:line="360" w:lineRule="auto"/>
        <w:ind w:firstLine="482" w:firstLineChars="200"/>
        <w:outlineLvl w:val="1"/>
        <w:rPr>
          <w:rFonts w:ascii="宋体" w:hAnsi="宋体"/>
          <w:b/>
          <w:sz w:val="24"/>
          <w:szCs w:val="24"/>
        </w:rPr>
      </w:pPr>
      <w:r>
        <w:rPr>
          <w:rFonts w:hint="eastAsia" w:ascii="宋体" w:hAnsi="宋体"/>
          <w:b/>
          <w:sz w:val="24"/>
          <w:szCs w:val="24"/>
        </w:rPr>
        <w:t>（二）专业基础课程</w:t>
      </w:r>
    </w:p>
    <w:p>
      <w:pPr>
        <w:spacing w:line="360" w:lineRule="auto"/>
        <w:ind w:firstLine="480"/>
        <w:jc w:val="left"/>
        <w:outlineLvl w:val="1"/>
        <w:rPr>
          <w:rFonts w:ascii="宋体" w:hAnsi="宋体"/>
          <w:sz w:val="24"/>
          <w:szCs w:val="24"/>
        </w:rPr>
      </w:pPr>
      <w:r>
        <w:rPr>
          <w:rFonts w:hint="eastAsia" w:ascii="宋体" w:hAnsi="宋体"/>
          <w:sz w:val="24"/>
          <w:szCs w:val="24"/>
        </w:rPr>
        <w:t>专业基础课程主要包括现代自然科学、生命科学和基础医学，重在使学生掌握专业基础课程的基本知识、基本技能，为学习专业核心课程奠定必要的基础。</w:t>
      </w:r>
    </w:p>
    <w:p>
      <w:pPr>
        <w:spacing w:line="360" w:lineRule="auto"/>
        <w:ind w:firstLine="480"/>
        <w:jc w:val="left"/>
        <w:outlineLvl w:val="1"/>
        <w:rPr>
          <w:rFonts w:ascii="宋体" w:hAnsi="宋体"/>
          <w:sz w:val="24"/>
          <w:szCs w:val="24"/>
        </w:rPr>
      </w:pPr>
      <w:r>
        <w:rPr>
          <w:rFonts w:hint="eastAsia" w:ascii="宋体" w:hAnsi="宋体"/>
          <w:sz w:val="24"/>
          <w:szCs w:val="24"/>
        </w:rPr>
        <w:t>课程设置包括人体解剖学、组织学与胚胎学、生物化学、生理学、病理学、病理生理学、免疫学与病原微生物学、药理学、医学伦理学、医学心理学、医患沟通、卫生法律法规。课程目标、主要教学内容、教学要求详见表5。</w:t>
      </w:r>
    </w:p>
    <w:p>
      <w:pPr>
        <w:spacing w:line="360" w:lineRule="auto"/>
        <w:jc w:val="center"/>
        <w:outlineLvl w:val="1"/>
        <w:rPr>
          <w:rFonts w:ascii="宋体" w:hAnsi="宋体"/>
          <w:b/>
          <w:szCs w:val="21"/>
        </w:rPr>
      </w:pPr>
      <w:r>
        <w:rPr>
          <w:rFonts w:hint="eastAsia" w:ascii="宋体" w:hAnsi="宋体"/>
          <w:b/>
          <w:szCs w:val="21"/>
        </w:rPr>
        <w:t>表5  专业基础课课程目标、主要教学内容、教学要求</w:t>
      </w:r>
    </w:p>
    <w:tbl>
      <w:tblPr>
        <w:tblStyle w:val="1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4"/>
        <w:gridCol w:w="156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92D050"/>
          </w:tcPr>
          <w:p>
            <w:pPr>
              <w:spacing w:line="360" w:lineRule="auto"/>
              <w:jc w:val="center"/>
              <w:outlineLvl w:val="1"/>
              <w:rPr>
                <w:rFonts w:ascii="宋体" w:hAnsi="宋体"/>
                <w:b/>
                <w:szCs w:val="21"/>
              </w:rPr>
            </w:pPr>
            <w:r>
              <w:rPr>
                <w:rFonts w:hint="eastAsia" w:ascii="宋体" w:hAnsi="宋体"/>
                <w:szCs w:val="21"/>
              </w:rPr>
              <w:t>序号</w:t>
            </w:r>
          </w:p>
        </w:tc>
        <w:tc>
          <w:tcPr>
            <w:tcW w:w="1134" w:type="dxa"/>
            <w:shd w:val="clear" w:color="auto" w:fill="92D050"/>
          </w:tcPr>
          <w:p>
            <w:pPr>
              <w:spacing w:line="360" w:lineRule="auto"/>
              <w:jc w:val="center"/>
              <w:outlineLvl w:val="1"/>
              <w:rPr>
                <w:rFonts w:ascii="宋体" w:hAnsi="宋体"/>
                <w:b/>
                <w:szCs w:val="21"/>
              </w:rPr>
            </w:pPr>
            <w:r>
              <w:rPr>
                <w:rFonts w:hint="eastAsia" w:ascii="宋体" w:hAnsi="宋体"/>
                <w:szCs w:val="21"/>
              </w:rPr>
              <w:t>课程名称</w:t>
            </w:r>
          </w:p>
        </w:tc>
        <w:tc>
          <w:tcPr>
            <w:tcW w:w="1560" w:type="dxa"/>
            <w:shd w:val="clear" w:color="auto" w:fill="92D050"/>
          </w:tcPr>
          <w:p>
            <w:pPr>
              <w:spacing w:line="360" w:lineRule="auto"/>
              <w:jc w:val="center"/>
              <w:outlineLvl w:val="1"/>
              <w:rPr>
                <w:rFonts w:ascii="宋体" w:hAnsi="宋体"/>
                <w:szCs w:val="21"/>
              </w:rPr>
            </w:pPr>
            <w:r>
              <w:rPr>
                <w:rFonts w:hint="eastAsia" w:ascii="宋体" w:hAnsi="宋体"/>
                <w:szCs w:val="21"/>
              </w:rPr>
              <w:t>项目</w:t>
            </w:r>
          </w:p>
        </w:tc>
        <w:tc>
          <w:tcPr>
            <w:tcW w:w="6520" w:type="dxa"/>
            <w:shd w:val="clear" w:color="auto" w:fill="92D050"/>
          </w:tcPr>
          <w:p>
            <w:pPr>
              <w:spacing w:line="360" w:lineRule="auto"/>
              <w:jc w:val="center"/>
              <w:outlineLvl w:val="1"/>
              <w:rPr>
                <w:rFonts w:ascii="宋体" w:hAnsi="宋体"/>
                <w:szCs w:val="21"/>
              </w:rPr>
            </w:pP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360" w:lineRule="auto"/>
              <w:jc w:val="center"/>
              <w:outlineLvl w:val="1"/>
              <w:rPr>
                <w:rFonts w:ascii="宋体" w:hAnsi="宋体"/>
                <w:szCs w:val="21"/>
              </w:rPr>
            </w:pPr>
            <w:r>
              <w:rPr>
                <w:rFonts w:hint="eastAsia" w:ascii="宋体" w:hAnsi="宋体"/>
                <w:szCs w:val="21"/>
              </w:rPr>
              <w:t>1</w:t>
            </w:r>
          </w:p>
        </w:tc>
        <w:tc>
          <w:tcPr>
            <w:tcW w:w="1134" w:type="dxa"/>
            <w:vMerge w:val="restart"/>
            <w:vAlign w:val="center"/>
          </w:tcPr>
          <w:p>
            <w:pPr>
              <w:spacing w:line="360" w:lineRule="auto"/>
              <w:jc w:val="center"/>
              <w:rPr>
                <w:rFonts w:ascii="宋体" w:hAnsi="宋体"/>
                <w:szCs w:val="21"/>
              </w:rPr>
            </w:pPr>
            <w:r>
              <w:rPr>
                <w:rFonts w:hint="eastAsia" w:ascii="宋体" w:hAnsi="宋体"/>
                <w:szCs w:val="21"/>
              </w:rPr>
              <w:t>人体解剖学</w:t>
            </w:r>
          </w:p>
        </w:tc>
        <w:tc>
          <w:tcPr>
            <w:tcW w:w="1560" w:type="dxa"/>
            <w:vAlign w:val="center"/>
          </w:tcPr>
          <w:p>
            <w:pPr>
              <w:spacing w:line="360" w:lineRule="auto"/>
              <w:jc w:val="center"/>
              <w:outlineLvl w:val="1"/>
              <w:rPr>
                <w:rFonts w:ascii="宋体" w:hAnsi="宋体"/>
                <w:szCs w:val="21"/>
              </w:rPr>
            </w:pPr>
            <w:r>
              <w:rPr>
                <w:rFonts w:hint="eastAsia" w:ascii="宋体" w:hAnsi="宋体"/>
                <w:szCs w:val="21"/>
              </w:rPr>
              <w:t>课程目标</w:t>
            </w:r>
          </w:p>
        </w:tc>
        <w:tc>
          <w:tcPr>
            <w:tcW w:w="6520" w:type="dxa"/>
          </w:tcPr>
          <w:p>
            <w:pPr>
              <w:spacing w:line="360" w:lineRule="auto"/>
              <w:outlineLvl w:val="1"/>
              <w:rPr>
                <w:rFonts w:ascii="宋体" w:hAnsi="宋体"/>
                <w:szCs w:val="21"/>
              </w:rPr>
            </w:pPr>
            <w:r>
              <w:rPr>
                <w:rFonts w:hint="eastAsia" w:ascii="宋体" w:hAnsi="宋体"/>
                <w:szCs w:val="21"/>
              </w:rPr>
              <w:t>(1)掌握人体组织器官的形态、结构特点、功能、位置与毗邻、层次关系和临床应用。(2)能确认主要组织器官的位置、形态、结构和毗邻关系。(3)能分析人体的解剖生理与病理发生的关系。(4)树立辩证唯物主义世界观，尊重生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主要教学内容</w:t>
            </w:r>
          </w:p>
        </w:tc>
        <w:tc>
          <w:tcPr>
            <w:tcW w:w="6520" w:type="dxa"/>
          </w:tcPr>
          <w:p>
            <w:pPr>
              <w:spacing w:line="360" w:lineRule="auto"/>
              <w:outlineLvl w:val="1"/>
              <w:rPr>
                <w:rFonts w:ascii="宋体" w:hAnsi="宋体"/>
                <w:szCs w:val="21"/>
              </w:rPr>
            </w:pPr>
            <w:r>
              <w:rPr>
                <w:rFonts w:hint="eastAsia" w:ascii="宋体" w:hAnsi="宋体"/>
                <w:szCs w:val="21"/>
              </w:rPr>
              <w:t>正常人体基本组织的分类、形态、结构、分布、功能，各系统、组织器官的形态、结构、功能、位置和毗邻、层次关系和临床应用。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教学要求</w:t>
            </w:r>
          </w:p>
        </w:tc>
        <w:tc>
          <w:tcPr>
            <w:tcW w:w="6520" w:type="dxa"/>
          </w:tcPr>
          <w:p>
            <w:pPr>
              <w:spacing w:line="360" w:lineRule="auto"/>
              <w:outlineLvl w:val="1"/>
              <w:rPr>
                <w:rFonts w:ascii="宋体" w:hAnsi="宋体"/>
                <w:szCs w:val="21"/>
              </w:rPr>
            </w:pPr>
            <w:r>
              <w:rPr>
                <w:rFonts w:hint="eastAsia" w:ascii="宋体" w:hAnsi="宋体"/>
                <w:szCs w:val="21"/>
              </w:rPr>
              <w:t>通过理论讲解、案例教学、探究教学、观察模型、仿真实验及活体观察等，线上线下混合教学，使学生建立对正常人体的整体认知，帮助学生理解人体结构与功能、人体与自然的关系，解释人体的生理现象和病理发生发展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360" w:lineRule="auto"/>
              <w:jc w:val="center"/>
              <w:outlineLvl w:val="1"/>
              <w:rPr>
                <w:rFonts w:ascii="宋体" w:hAnsi="宋体"/>
                <w:szCs w:val="21"/>
              </w:rPr>
            </w:pPr>
            <w:r>
              <w:rPr>
                <w:rFonts w:hint="eastAsia" w:ascii="宋体" w:hAnsi="宋体"/>
                <w:szCs w:val="21"/>
              </w:rPr>
              <w:t>2</w:t>
            </w:r>
          </w:p>
        </w:tc>
        <w:tc>
          <w:tcPr>
            <w:tcW w:w="1134" w:type="dxa"/>
            <w:vMerge w:val="restart"/>
            <w:vAlign w:val="center"/>
          </w:tcPr>
          <w:p>
            <w:pPr>
              <w:spacing w:line="360" w:lineRule="auto"/>
              <w:jc w:val="center"/>
              <w:rPr>
                <w:rFonts w:ascii="宋体" w:hAnsi="宋体"/>
                <w:b/>
                <w:bCs/>
                <w:szCs w:val="21"/>
              </w:rPr>
            </w:pPr>
            <w:r>
              <w:rPr>
                <w:rFonts w:hint="eastAsia" w:ascii="宋体" w:hAnsi="宋体"/>
                <w:szCs w:val="21"/>
              </w:rPr>
              <w:t>组织学与胚胎学</w:t>
            </w:r>
          </w:p>
        </w:tc>
        <w:tc>
          <w:tcPr>
            <w:tcW w:w="1560" w:type="dxa"/>
            <w:vAlign w:val="center"/>
          </w:tcPr>
          <w:p>
            <w:pPr>
              <w:spacing w:line="360" w:lineRule="auto"/>
              <w:jc w:val="center"/>
              <w:outlineLvl w:val="1"/>
              <w:rPr>
                <w:rFonts w:ascii="宋体" w:hAnsi="宋体"/>
                <w:szCs w:val="21"/>
              </w:rPr>
            </w:pPr>
            <w:r>
              <w:rPr>
                <w:rFonts w:hint="eastAsia" w:ascii="宋体" w:hAnsi="宋体"/>
                <w:szCs w:val="21"/>
              </w:rPr>
              <w:t>课程目标</w:t>
            </w:r>
          </w:p>
        </w:tc>
        <w:tc>
          <w:tcPr>
            <w:tcW w:w="6520" w:type="dxa"/>
          </w:tcPr>
          <w:p>
            <w:pPr>
              <w:spacing w:line="360" w:lineRule="auto"/>
              <w:outlineLvl w:val="1"/>
              <w:rPr>
                <w:rFonts w:ascii="宋体" w:hAnsi="宋体"/>
                <w:szCs w:val="21"/>
              </w:rPr>
            </w:pPr>
            <w:r>
              <w:rPr>
                <w:rFonts w:hint="eastAsia" w:ascii="宋体" w:hAnsi="宋体"/>
                <w:szCs w:val="21"/>
              </w:rPr>
              <w:t>（1）掌握组织器官的显微结构、超微结构及功能关系。（2）熟悉胚胎发生及常见的先天性畸形。（3）能在光镜下辨认主要细胞、组织和器官的正常结构。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主要教学内容</w:t>
            </w:r>
          </w:p>
        </w:tc>
        <w:tc>
          <w:tcPr>
            <w:tcW w:w="6520" w:type="dxa"/>
          </w:tcPr>
          <w:p>
            <w:pPr>
              <w:spacing w:line="360" w:lineRule="auto"/>
              <w:outlineLvl w:val="1"/>
              <w:rPr>
                <w:rFonts w:ascii="宋体" w:hAnsi="宋体"/>
                <w:szCs w:val="21"/>
              </w:rPr>
            </w:pPr>
            <w:r>
              <w:rPr>
                <w:rFonts w:hint="eastAsia" w:ascii="宋体" w:hAnsi="宋体"/>
                <w:szCs w:val="21"/>
              </w:rPr>
              <w:t>人体组织器官的显微结构、超微结构及其与功能的关系；人体胚胎发生、发育及先天性畸形。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教学要求</w:t>
            </w:r>
          </w:p>
        </w:tc>
        <w:tc>
          <w:tcPr>
            <w:tcW w:w="6520" w:type="dxa"/>
          </w:tcPr>
          <w:p>
            <w:pPr>
              <w:spacing w:line="360" w:lineRule="auto"/>
              <w:outlineLvl w:val="1"/>
              <w:rPr>
                <w:rFonts w:ascii="宋体" w:hAnsi="宋体"/>
                <w:szCs w:val="21"/>
              </w:rPr>
            </w:pPr>
            <w:r>
              <w:rPr>
                <w:rFonts w:hint="eastAsia" w:ascii="宋体" w:hAnsi="宋体"/>
                <w:szCs w:val="21"/>
              </w:rPr>
              <w:t>通过多媒体、任务驱动教学、启发自学、实验教学等，线上线下混合教学，使学生认识人体组织器官结构及其与功能的关系、胚胎发生与优生优育的关系。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360" w:lineRule="auto"/>
              <w:jc w:val="center"/>
              <w:outlineLvl w:val="1"/>
              <w:rPr>
                <w:rFonts w:ascii="宋体" w:hAnsi="宋体"/>
                <w:szCs w:val="21"/>
              </w:rPr>
            </w:pPr>
            <w:r>
              <w:rPr>
                <w:rFonts w:hint="eastAsia" w:ascii="宋体" w:hAnsi="宋体"/>
                <w:szCs w:val="21"/>
              </w:rPr>
              <w:t>3</w:t>
            </w:r>
          </w:p>
        </w:tc>
        <w:tc>
          <w:tcPr>
            <w:tcW w:w="1134" w:type="dxa"/>
            <w:vMerge w:val="restart"/>
            <w:vAlign w:val="center"/>
          </w:tcPr>
          <w:p>
            <w:pPr>
              <w:spacing w:line="360" w:lineRule="auto"/>
              <w:jc w:val="center"/>
              <w:rPr>
                <w:rFonts w:ascii="宋体" w:hAnsi="宋体"/>
                <w:szCs w:val="21"/>
              </w:rPr>
            </w:pPr>
            <w:r>
              <w:rPr>
                <w:rFonts w:hint="eastAsia" w:ascii="宋体" w:hAnsi="宋体"/>
                <w:szCs w:val="21"/>
              </w:rPr>
              <w:t>生物化学</w:t>
            </w:r>
          </w:p>
        </w:tc>
        <w:tc>
          <w:tcPr>
            <w:tcW w:w="1560" w:type="dxa"/>
            <w:vAlign w:val="center"/>
          </w:tcPr>
          <w:p>
            <w:pPr>
              <w:spacing w:line="360" w:lineRule="auto"/>
              <w:jc w:val="center"/>
              <w:outlineLvl w:val="1"/>
              <w:rPr>
                <w:rFonts w:ascii="宋体" w:hAnsi="宋体"/>
                <w:szCs w:val="21"/>
              </w:rPr>
            </w:pPr>
            <w:r>
              <w:rPr>
                <w:rFonts w:hint="eastAsia" w:ascii="宋体" w:hAnsi="宋体"/>
                <w:szCs w:val="21"/>
              </w:rPr>
              <w:t>课程目标</w:t>
            </w:r>
          </w:p>
        </w:tc>
        <w:tc>
          <w:tcPr>
            <w:tcW w:w="6520" w:type="dxa"/>
          </w:tcPr>
          <w:p>
            <w:pPr>
              <w:spacing w:line="360" w:lineRule="auto"/>
              <w:outlineLvl w:val="1"/>
              <w:rPr>
                <w:rFonts w:ascii="宋体" w:hAnsi="宋体"/>
                <w:szCs w:val="21"/>
              </w:rPr>
            </w:pPr>
            <w:r>
              <w:rPr>
                <w:rFonts w:hint="eastAsia" w:ascii="宋体" w:hAnsi="宋体"/>
                <w:szCs w:val="21"/>
              </w:rPr>
              <w:t>(1)掌握各生物大分子的结构、功能、物质代谢。(2)掌握重要的临床生化指标，具有生化实验的基本技能。(3)能在分子水平上分析疾病的病因和发病机制。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主要教学内容</w:t>
            </w:r>
          </w:p>
        </w:tc>
        <w:tc>
          <w:tcPr>
            <w:tcW w:w="6520" w:type="dxa"/>
          </w:tcPr>
          <w:p>
            <w:pPr>
              <w:spacing w:line="360" w:lineRule="auto"/>
              <w:outlineLvl w:val="1"/>
              <w:rPr>
                <w:rFonts w:ascii="宋体" w:hAnsi="宋体"/>
                <w:szCs w:val="21"/>
              </w:rPr>
            </w:pPr>
            <w:r>
              <w:rPr>
                <w:rFonts w:hint="eastAsia" w:ascii="宋体" w:hAnsi="宋体"/>
                <w:szCs w:val="21"/>
              </w:rPr>
              <w:t>生物大分子的结构与功能；物质代谢；基因信息的传递；水和电解质代谢；酸碱平衡；肝胆生化。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教学要求</w:t>
            </w:r>
          </w:p>
        </w:tc>
        <w:tc>
          <w:tcPr>
            <w:tcW w:w="6520" w:type="dxa"/>
          </w:tcPr>
          <w:p>
            <w:pPr>
              <w:spacing w:line="360" w:lineRule="auto"/>
              <w:outlineLvl w:val="1"/>
              <w:rPr>
                <w:rFonts w:ascii="宋体" w:hAnsi="宋体"/>
                <w:szCs w:val="21"/>
              </w:rPr>
            </w:pPr>
            <w:r>
              <w:rPr>
                <w:rFonts w:hint="eastAsia" w:ascii="宋体" w:hAnsi="宋体"/>
                <w:szCs w:val="21"/>
              </w:rPr>
              <w:t>通过多媒体、数字化教学、任务驱动教学、探究教学、案例教学等，线上线下混合教学，培养学生运用生物化学知识分析疾病发病机理的能力，为预防疾病发生奠定基础。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360" w:lineRule="auto"/>
              <w:jc w:val="center"/>
              <w:outlineLvl w:val="1"/>
              <w:rPr>
                <w:rFonts w:ascii="宋体" w:hAnsi="宋体"/>
                <w:szCs w:val="21"/>
              </w:rPr>
            </w:pPr>
            <w:r>
              <w:rPr>
                <w:rFonts w:hint="eastAsia" w:ascii="宋体" w:hAnsi="宋体"/>
                <w:szCs w:val="21"/>
              </w:rPr>
              <w:t>4</w:t>
            </w:r>
          </w:p>
        </w:tc>
        <w:tc>
          <w:tcPr>
            <w:tcW w:w="1134" w:type="dxa"/>
            <w:vMerge w:val="restart"/>
            <w:vAlign w:val="center"/>
          </w:tcPr>
          <w:p>
            <w:pPr>
              <w:spacing w:line="360" w:lineRule="auto"/>
              <w:jc w:val="center"/>
              <w:outlineLvl w:val="1"/>
              <w:rPr>
                <w:rFonts w:ascii="宋体" w:hAnsi="宋体"/>
                <w:szCs w:val="21"/>
              </w:rPr>
            </w:pPr>
            <w:r>
              <w:rPr>
                <w:rFonts w:hint="eastAsia" w:ascii="宋体" w:hAnsi="宋体"/>
                <w:szCs w:val="21"/>
              </w:rPr>
              <w:t>医学伦理学</w:t>
            </w:r>
          </w:p>
        </w:tc>
        <w:tc>
          <w:tcPr>
            <w:tcW w:w="1560" w:type="dxa"/>
            <w:vAlign w:val="center"/>
          </w:tcPr>
          <w:p>
            <w:pPr>
              <w:spacing w:line="360" w:lineRule="auto"/>
              <w:jc w:val="center"/>
              <w:outlineLvl w:val="1"/>
              <w:rPr>
                <w:rFonts w:ascii="宋体" w:hAnsi="宋体"/>
                <w:szCs w:val="21"/>
              </w:rPr>
            </w:pPr>
            <w:r>
              <w:rPr>
                <w:rFonts w:hint="eastAsia" w:ascii="宋体" w:hAnsi="宋体"/>
                <w:szCs w:val="21"/>
              </w:rPr>
              <w:t>课程目标</w:t>
            </w:r>
          </w:p>
        </w:tc>
        <w:tc>
          <w:tcPr>
            <w:tcW w:w="6520" w:type="dxa"/>
          </w:tcPr>
          <w:p>
            <w:pPr>
              <w:spacing w:line="360" w:lineRule="auto"/>
              <w:outlineLvl w:val="1"/>
              <w:rPr>
                <w:rFonts w:ascii="宋体" w:hAnsi="宋体"/>
                <w:szCs w:val="21"/>
              </w:rPr>
            </w:pPr>
            <w:r>
              <w:rPr>
                <w:rFonts w:hint="eastAsia" w:ascii="宋体" w:hAnsi="宋体"/>
                <w:szCs w:val="21"/>
              </w:rPr>
              <w:t>(1)掌握医学伦理学的基本知识、基本原则和行为道德规范。(2)学会运用本课程知识分析、解决医疗工作中的伦理问题，能把本课程理论和规范转化为高尚的道德品质和道德行为。(3)养成良好的医学伦理素质，具有严谨认真、科学求实的学习态度及崇高的职业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主要教学内容</w:t>
            </w:r>
          </w:p>
        </w:tc>
        <w:tc>
          <w:tcPr>
            <w:tcW w:w="6520" w:type="dxa"/>
          </w:tcPr>
          <w:p>
            <w:pPr>
              <w:spacing w:line="360" w:lineRule="auto"/>
              <w:outlineLvl w:val="1"/>
              <w:rPr>
                <w:rFonts w:ascii="宋体" w:hAnsi="宋体"/>
                <w:szCs w:val="21"/>
              </w:rPr>
            </w:pPr>
            <w:r>
              <w:rPr>
                <w:rFonts w:hint="eastAsia" w:ascii="宋体" w:hAnsi="宋体"/>
                <w:szCs w:val="21"/>
              </w:rPr>
              <w:t>医学伦理原则与规范；医疗人际关系伦理；临床诊疗伦理；临终关怀与死亡伦理；公共卫生与健康伦理；医务人员医学伦理素质的养成。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教学要求</w:t>
            </w:r>
          </w:p>
        </w:tc>
        <w:tc>
          <w:tcPr>
            <w:tcW w:w="6520" w:type="dxa"/>
          </w:tcPr>
          <w:p>
            <w:pPr>
              <w:spacing w:line="360" w:lineRule="auto"/>
              <w:outlineLvl w:val="1"/>
              <w:rPr>
                <w:rFonts w:ascii="宋体" w:hAnsi="宋体"/>
                <w:szCs w:val="21"/>
              </w:rPr>
            </w:pPr>
            <w:r>
              <w:rPr>
                <w:rFonts w:hint="eastAsia" w:ascii="宋体" w:hAnsi="宋体"/>
                <w:szCs w:val="21"/>
              </w:rPr>
              <w:t>通过多媒体、数字化资源讲解、案例教学、启发教学、任务驱动教学等，线上线下混合教学，加强学生职业道德教育，促使其形成良好的医学伦理素质和医学职业道德品格，以良好的伦理关系规范行医行为。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360" w:lineRule="auto"/>
              <w:jc w:val="center"/>
              <w:outlineLvl w:val="1"/>
              <w:rPr>
                <w:rFonts w:ascii="宋体" w:hAnsi="宋体"/>
                <w:szCs w:val="21"/>
              </w:rPr>
            </w:pPr>
            <w:r>
              <w:rPr>
                <w:rFonts w:hint="eastAsia" w:ascii="宋体" w:hAnsi="宋体"/>
                <w:szCs w:val="21"/>
              </w:rPr>
              <w:t>5</w:t>
            </w:r>
          </w:p>
        </w:tc>
        <w:tc>
          <w:tcPr>
            <w:tcW w:w="1134" w:type="dxa"/>
            <w:vMerge w:val="restart"/>
            <w:vAlign w:val="center"/>
          </w:tcPr>
          <w:p>
            <w:pPr>
              <w:spacing w:line="360" w:lineRule="auto"/>
              <w:jc w:val="center"/>
              <w:rPr>
                <w:rFonts w:ascii="宋体" w:hAnsi="宋体"/>
                <w:szCs w:val="21"/>
              </w:rPr>
            </w:pPr>
            <w:r>
              <w:rPr>
                <w:rFonts w:hint="eastAsia" w:ascii="宋体" w:hAnsi="宋体"/>
                <w:szCs w:val="21"/>
              </w:rPr>
              <w:t>生理学</w:t>
            </w:r>
          </w:p>
        </w:tc>
        <w:tc>
          <w:tcPr>
            <w:tcW w:w="1560" w:type="dxa"/>
            <w:vAlign w:val="center"/>
          </w:tcPr>
          <w:p>
            <w:pPr>
              <w:spacing w:line="360" w:lineRule="auto"/>
              <w:jc w:val="center"/>
              <w:outlineLvl w:val="1"/>
              <w:rPr>
                <w:rFonts w:ascii="宋体" w:hAnsi="宋体"/>
                <w:szCs w:val="21"/>
              </w:rPr>
            </w:pPr>
            <w:r>
              <w:rPr>
                <w:rFonts w:hint="eastAsia" w:ascii="宋体" w:hAnsi="宋体"/>
                <w:szCs w:val="21"/>
              </w:rPr>
              <w:t>课程目标</w:t>
            </w:r>
          </w:p>
        </w:tc>
        <w:tc>
          <w:tcPr>
            <w:tcW w:w="6520" w:type="dxa"/>
          </w:tcPr>
          <w:p>
            <w:pPr>
              <w:spacing w:line="360" w:lineRule="auto"/>
              <w:outlineLvl w:val="1"/>
              <w:rPr>
                <w:rFonts w:ascii="宋体" w:hAnsi="宋体"/>
                <w:szCs w:val="21"/>
              </w:rPr>
            </w:pPr>
            <w:r>
              <w:rPr>
                <w:rFonts w:hint="eastAsia" w:ascii="宋体" w:hAnsi="宋体"/>
                <w:szCs w:val="21"/>
              </w:rPr>
              <w:t>(1)掌握人体系统、器官的生理功能及调节机制、影响因素。(2)具有本课程的基本实验技能，能熟练进行生命体征的监测。(3)能运用本课程知识解释临床常见病的监测原理和发病机制，指导预防保健。(4)树立人文关怀精神，尊重生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主要教学内容</w:t>
            </w:r>
          </w:p>
        </w:tc>
        <w:tc>
          <w:tcPr>
            <w:tcW w:w="6520" w:type="dxa"/>
          </w:tcPr>
          <w:p>
            <w:pPr>
              <w:spacing w:line="360" w:lineRule="auto"/>
              <w:outlineLvl w:val="1"/>
              <w:rPr>
                <w:rFonts w:ascii="宋体" w:hAnsi="宋体"/>
                <w:szCs w:val="21"/>
              </w:rPr>
            </w:pPr>
            <w:r>
              <w:rPr>
                <w:rFonts w:hint="eastAsia" w:ascii="宋体" w:hAnsi="宋体"/>
                <w:szCs w:val="21"/>
              </w:rPr>
              <w:t>生命的基本特征、生命活动的基本规律；细胞的基本功能；各系统、器官的生理功能及其调节机制、影响因素；能量代谢。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教学要求</w:t>
            </w:r>
          </w:p>
        </w:tc>
        <w:tc>
          <w:tcPr>
            <w:tcW w:w="6520" w:type="dxa"/>
          </w:tcPr>
          <w:p>
            <w:pPr>
              <w:spacing w:line="360" w:lineRule="auto"/>
              <w:outlineLvl w:val="1"/>
              <w:rPr>
                <w:rFonts w:ascii="宋体" w:hAnsi="宋体"/>
                <w:szCs w:val="21"/>
              </w:rPr>
            </w:pPr>
            <w:r>
              <w:rPr>
                <w:rFonts w:hint="eastAsia" w:ascii="宋体" w:hAnsi="宋体"/>
                <w:szCs w:val="21"/>
              </w:rPr>
              <w:t>通过多媒体、数字化教学、探究教学、案例教学、情景教学等，线上线下混合教学，使学生从细胞和分子水平、器官和系统水平以及整体水平理解机体的功能活动及其活动规律，从而认识疾病。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360" w:lineRule="auto"/>
              <w:jc w:val="center"/>
              <w:outlineLvl w:val="1"/>
              <w:rPr>
                <w:rFonts w:ascii="宋体" w:hAnsi="宋体"/>
                <w:szCs w:val="21"/>
              </w:rPr>
            </w:pPr>
            <w:r>
              <w:rPr>
                <w:rFonts w:hint="eastAsia" w:ascii="宋体" w:hAnsi="宋体"/>
                <w:szCs w:val="21"/>
              </w:rPr>
              <w:t>6</w:t>
            </w:r>
          </w:p>
        </w:tc>
        <w:tc>
          <w:tcPr>
            <w:tcW w:w="1134" w:type="dxa"/>
            <w:vMerge w:val="restart"/>
            <w:vAlign w:val="center"/>
          </w:tcPr>
          <w:p>
            <w:pPr>
              <w:spacing w:line="360" w:lineRule="auto"/>
              <w:jc w:val="center"/>
              <w:rPr>
                <w:rFonts w:ascii="宋体" w:hAnsi="宋体"/>
                <w:b/>
                <w:bCs/>
                <w:szCs w:val="21"/>
              </w:rPr>
            </w:pPr>
            <w:r>
              <w:rPr>
                <w:rFonts w:hint="eastAsia" w:ascii="宋体" w:hAnsi="宋体"/>
                <w:szCs w:val="21"/>
              </w:rPr>
              <w:t>病理学</w:t>
            </w:r>
          </w:p>
        </w:tc>
        <w:tc>
          <w:tcPr>
            <w:tcW w:w="1560" w:type="dxa"/>
            <w:vAlign w:val="center"/>
          </w:tcPr>
          <w:p>
            <w:pPr>
              <w:spacing w:line="360" w:lineRule="auto"/>
              <w:jc w:val="center"/>
              <w:outlineLvl w:val="1"/>
              <w:rPr>
                <w:rFonts w:ascii="宋体" w:hAnsi="宋体"/>
                <w:szCs w:val="21"/>
              </w:rPr>
            </w:pPr>
            <w:r>
              <w:rPr>
                <w:rFonts w:hint="eastAsia" w:ascii="宋体" w:hAnsi="宋体"/>
                <w:szCs w:val="21"/>
              </w:rPr>
              <w:t>课程目标</w:t>
            </w:r>
          </w:p>
        </w:tc>
        <w:tc>
          <w:tcPr>
            <w:tcW w:w="6520" w:type="dxa"/>
          </w:tcPr>
          <w:p>
            <w:pPr>
              <w:spacing w:line="360" w:lineRule="auto"/>
              <w:outlineLvl w:val="1"/>
              <w:rPr>
                <w:rFonts w:ascii="宋体" w:hAnsi="宋体"/>
                <w:szCs w:val="21"/>
              </w:rPr>
            </w:pPr>
            <w:r>
              <w:rPr>
                <w:rFonts w:ascii="宋体" w:hAnsi="宋体"/>
                <w:szCs w:val="21"/>
              </w:rPr>
              <w:t>(1)</w:t>
            </w:r>
            <w:r>
              <w:rPr>
                <w:rFonts w:hint="eastAsia" w:ascii="宋体" w:hAnsi="宋体"/>
                <w:szCs w:val="21"/>
              </w:rPr>
              <w:t>掌握疾病的病变特点、病理变化和临床表现的关系。</w:t>
            </w:r>
            <w:r>
              <w:rPr>
                <w:rFonts w:ascii="宋体" w:hAnsi="宋体"/>
                <w:szCs w:val="21"/>
              </w:rPr>
              <w:t>(2)</w:t>
            </w:r>
            <w:r>
              <w:rPr>
                <w:rFonts w:hint="eastAsia" w:ascii="宋体" w:hAnsi="宋体"/>
                <w:szCs w:val="21"/>
              </w:rPr>
              <w:t>具有本课程的基本实验技能，能确认常见疾病的病理特点。</w:t>
            </w:r>
            <w:r>
              <w:rPr>
                <w:rFonts w:ascii="宋体" w:hAnsi="宋体"/>
                <w:szCs w:val="21"/>
              </w:rPr>
              <w:t>(3)</w:t>
            </w:r>
            <w:r>
              <w:rPr>
                <w:rFonts w:hint="eastAsia" w:ascii="宋体" w:hAnsi="宋体"/>
                <w:szCs w:val="21"/>
              </w:rPr>
              <w:t>能运用本课程知识解释临床常见疾病的临床表现和并发症。</w:t>
            </w:r>
            <w:r>
              <w:rPr>
                <w:rFonts w:ascii="宋体" w:hAnsi="宋体"/>
                <w:szCs w:val="21"/>
              </w:rPr>
              <w:t>(4)</w:t>
            </w:r>
            <w:r>
              <w:rPr>
                <w:rFonts w:hint="eastAsia"/>
              </w:rPr>
              <w:t xml:space="preserve"> </w:t>
            </w:r>
            <w:r>
              <w:rPr>
                <w:rFonts w:hint="eastAsia" w:ascii="宋体" w:hAnsi="宋体"/>
                <w:szCs w:val="21"/>
              </w:rPr>
              <w:t>尊重临床客观事实。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主要教学内容</w:t>
            </w:r>
          </w:p>
        </w:tc>
        <w:tc>
          <w:tcPr>
            <w:tcW w:w="6520" w:type="dxa"/>
          </w:tcPr>
          <w:p>
            <w:pPr>
              <w:spacing w:line="360" w:lineRule="auto"/>
              <w:outlineLvl w:val="1"/>
              <w:rPr>
                <w:rFonts w:ascii="宋体" w:hAnsi="宋体"/>
                <w:szCs w:val="21"/>
              </w:rPr>
            </w:pPr>
            <w:r>
              <w:rPr>
                <w:rFonts w:hint="eastAsia" w:ascii="宋体" w:hAnsi="宋体"/>
                <w:szCs w:val="21"/>
              </w:rPr>
              <w:t>细胞和组织的损伤与修复；局部血液循环障碍、炎症、肿瘤的病变特点；各系统常见疾病的病理变化特点。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教学要求</w:t>
            </w:r>
          </w:p>
        </w:tc>
        <w:tc>
          <w:tcPr>
            <w:tcW w:w="6520" w:type="dxa"/>
          </w:tcPr>
          <w:p>
            <w:pPr>
              <w:spacing w:line="360" w:lineRule="auto"/>
              <w:outlineLvl w:val="1"/>
              <w:rPr>
                <w:rFonts w:ascii="宋体" w:hAnsi="宋体"/>
                <w:szCs w:val="21"/>
              </w:rPr>
            </w:pPr>
            <w:r>
              <w:rPr>
                <w:rFonts w:hint="eastAsia" w:ascii="宋体" w:hAnsi="宋体"/>
                <w:szCs w:val="21"/>
              </w:rPr>
              <w:t>通过多媒体、数字化教学、案例教学、启发教学、探究教学、任务驱动教学等，线上线下混合教学，指导学生按照现代医学模式应用各种方法研究疾病的病因、发病机制、临床表现和并发症，培养观察、诊断疾病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360" w:lineRule="auto"/>
              <w:jc w:val="center"/>
              <w:outlineLvl w:val="1"/>
              <w:rPr>
                <w:rFonts w:ascii="宋体" w:hAnsi="宋体"/>
                <w:szCs w:val="21"/>
              </w:rPr>
            </w:pPr>
            <w:r>
              <w:rPr>
                <w:rFonts w:hint="eastAsia" w:ascii="宋体" w:hAnsi="宋体"/>
                <w:szCs w:val="21"/>
              </w:rPr>
              <w:t>7</w:t>
            </w:r>
          </w:p>
        </w:tc>
        <w:tc>
          <w:tcPr>
            <w:tcW w:w="1134" w:type="dxa"/>
            <w:vMerge w:val="restart"/>
            <w:vAlign w:val="center"/>
          </w:tcPr>
          <w:p>
            <w:pPr>
              <w:spacing w:line="360" w:lineRule="auto"/>
              <w:jc w:val="center"/>
              <w:rPr>
                <w:rFonts w:ascii="宋体" w:hAnsi="宋体"/>
                <w:b/>
                <w:bCs/>
                <w:szCs w:val="21"/>
              </w:rPr>
            </w:pPr>
            <w:r>
              <w:rPr>
                <w:rFonts w:hint="eastAsia" w:ascii="宋体" w:hAnsi="宋体"/>
                <w:szCs w:val="21"/>
              </w:rPr>
              <w:t>病理生理学</w:t>
            </w:r>
          </w:p>
        </w:tc>
        <w:tc>
          <w:tcPr>
            <w:tcW w:w="1560" w:type="dxa"/>
            <w:vAlign w:val="center"/>
          </w:tcPr>
          <w:p>
            <w:pPr>
              <w:spacing w:line="360" w:lineRule="auto"/>
              <w:jc w:val="center"/>
              <w:outlineLvl w:val="1"/>
              <w:rPr>
                <w:rFonts w:ascii="宋体" w:hAnsi="宋体"/>
                <w:szCs w:val="21"/>
              </w:rPr>
            </w:pPr>
            <w:r>
              <w:rPr>
                <w:rFonts w:hint="eastAsia" w:ascii="宋体" w:hAnsi="宋体"/>
                <w:szCs w:val="21"/>
              </w:rPr>
              <w:t>课程目标</w:t>
            </w:r>
          </w:p>
        </w:tc>
        <w:tc>
          <w:tcPr>
            <w:tcW w:w="6520" w:type="dxa"/>
          </w:tcPr>
          <w:p>
            <w:pPr>
              <w:spacing w:line="360" w:lineRule="auto"/>
              <w:outlineLvl w:val="1"/>
              <w:rPr>
                <w:rFonts w:ascii="宋体" w:hAnsi="宋体"/>
                <w:szCs w:val="21"/>
              </w:rPr>
            </w:pPr>
            <w:r>
              <w:rPr>
                <w:rFonts w:ascii="宋体" w:hAnsi="宋体"/>
                <w:szCs w:val="21"/>
              </w:rPr>
              <w:t>(1)</w:t>
            </w:r>
            <w:r>
              <w:rPr>
                <w:rFonts w:hint="eastAsia" w:ascii="宋体" w:hAnsi="宋体"/>
                <w:szCs w:val="21"/>
              </w:rPr>
              <w:t>掌握疾病发生、发展、转归的一般规律；掌握疾病发展过程中机体机能、代谢变化与临床表现的内在联系。</w:t>
            </w:r>
            <w:r>
              <w:rPr>
                <w:rFonts w:ascii="宋体" w:hAnsi="宋体"/>
                <w:szCs w:val="21"/>
              </w:rPr>
              <w:t>(2)</w:t>
            </w:r>
            <w:r>
              <w:rPr>
                <w:rFonts w:hint="eastAsia" w:ascii="宋体" w:hAnsi="宋体"/>
                <w:szCs w:val="21"/>
              </w:rPr>
              <w:t>能运用本课程知识解释临床常见疾病的诊断、治疗。</w:t>
            </w:r>
            <w:r>
              <w:rPr>
                <w:rFonts w:ascii="宋体" w:hAnsi="宋体"/>
                <w:szCs w:val="21"/>
              </w:rPr>
              <w:t>(</w:t>
            </w:r>
            <w:r>
              <w:rPr>
                <w:rFonts w:hint="eastAsia" w:ascii="宋体" w:hAnsi="宋体"/>
                <w:szCs w:val="21"/>
              </w:rPr>
              <w:t>3</w:t>
            </w:r>
            <w:r>
              <w:rPr>
                <w:rFonts w:ascii="宋体" w:hAnsi="宋体"/>
                <w:szCs w:val="21"/>
              </w:rPr>
              <w:t>)</w:t>
            </w:r>
            <w:r>
              <w:rPr>
                <w:rFonts w:hint="eastAsia"/>
              </w:rPr>
              <w:t xml:space="preserve"> </w:t>
            </w:r>
            <w:r>
              <w:rPr>
                <w:rFonts w:hint="eastAsia" w:ascii="宋体" w:hAnsi="宋体"/>
                <w:szCs w:val="21"/>
              </w:rPr>
              <w:t>树立人文关怀精神，尊重生命。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主要教学内容</w:t>
            </w:r>
          </w:p>
        </w:tc>
        <w:tc>
          <w:tcPr>
            <w:tcW w:w="6520" w:type="dxa"/>
          </w:tcPr>
          <w:p>
            <w:pPr>
              <w:spacing w:line="360" w:lineRule="auto"/>
              <w:outlineLvl w:val="1"/>
              <w:rPr>
                <w:rFonts w:ascii="宋体" w:hAnsi="宋体"/>
                <w:szCs w:val="21"/>
              </w:rPr>
            </w:pPr>
            <w:r>
              <w:rPr>
                <w:rFonts w:hint="eastAsia" w:ascii="宋体" w:hAnsi="宋体"/>
                <w:szCs w:val="21"/>
              </w:rPr>
              <w:t>疾病概论；水电解质、酸碱平衡、</w:t>
            </w:r>
            <w:r>
              <w:rPr>
                <w:rFonts w:ascii="宋体" w:hAnsi="宋体"/>
                <w:szCs w:val="21"/>
              </w:rPr>
              <w:t>糖代谢</w:t>
            </w:r>
            <w:r>
              <w:rPr>
                <w:rFonts w:hint="eastAsia" w:ascii="宋体" w:hAnsi="宋体"/>
                <w:szCs w:val="21"/>
              </w:rPr>
              <w:t>、</w:t>
            </w:r>
            <w:r>
              <w:rPr>
                <w:rFonts w:ascii="宋体" w:hAnsi="宋体"/>
                <w:szCs w:val="21"/>
              </w:rPr>
              <w:t>脂代谢紊乱</w:t>
            </w:r>
            <w:r>
              <w:rPr>
                <w:rFonts w:hint="eastAsia" w:ascii="宋体" w:hAnsi="宋体"/>
                <w:szCs w:val="21"/>
              </w:rPr>
              <w:t>；</w:t>
            </w:r>
            <w:r>
              <w:rPr>
                <w:rFonts w:ascii="宋体" w:hAnsi="宋体"/>
                <w:szCs w:val="21"/>
              </w:rPr>
              <w:t>缺氧</w:t>
            </w:r>
            <w:r>
              <w:rPr>
                <w:rFonts w:hint="eastAsia" w:ascii="宋体" w:hAnsi="宋体"/>
                <w:szCs w:val="21"/>
              </w:rPr>
              <w:t>；</w:t>
            </w:r>
            <w:r>
              <w:rPr>
                <w:rFonts w:ascii="宋体" w:hAnsi="宋体"/>
                <w:szCs w:val="21"/>
              </w:rPr>
              <w:t>发热</w:t>
            </w:r>
            <w:r>
              <w:rPr>
                <w:rFonts w:hint="eastAsia" w:ascii="宋体" w:hAnsi="宋体"/>
                <w:szCs w:val="21"/>
              </w:rPr>
              <w:t>；</w:t>
            </w:r>
            <w:r>
              <w:rPr>
                <w:rFonts w:ascii="宋体" w:hAnsi="宋体"/>
                <w:szCs w:val="21"/>
              </w:rPr>
              <w:t>应激</w:t>
            </w:r>
            <w:r>
              <w:rPr>
                <w:rFonts w:hint="eastAsia" w:ascii="宋体" w:hAnsi="宋体"/>
                <w:szCs w:val="21"/>
              </w:rPr>
              <w:t>；</w:t>
            </w:r>
            <w:r>
              <w:rPr>
                <w:rFonts w:ascii="宋体" w:hAnsi="宋体"/>
                <w:szCs w:val="21"/>
              </w:rPr>
              <w:t>细胞与疾病</w:t>
            </w:r>
            <w:r>
              <w:rPr>
                <w:rFonts w:hint="eastAsia" w:ascii="宋体" w:hAnsi="宋体"/>
                <w:szCs w:val="21"/>
              </w:rPr>
              <w:t>；</w:t>
            </w:r>
            <w:r>
              <w:rPr>
                <w:rFonts w:ascii="宋体" w:hAnsi="宋体"/>
                <w:szCs w:val="21"/>
              </w:rPr>
              <w:t>缺血</w:t>
            </w:r>
            <w:r>
              <w:rPr>
                <w:rFonts w:hint="eastAsia" w:ascii="宋体" w:hAnsi="宋体"/>
                <w:szCs w:val="21"/>
              </w:rPr>
              <w:t>；</w:t>
            </w:r>
            <w:r>
              <w:rPr>
                <w:rFonts w:ascii="宋体" w:hAnsi="宋体"/>
                <w:szCs w:val="21"/>
              </w:rPr>
              <w:t>休克</w:t>
            </w:r>
            <w:r>
              <w:rPr>
                <w:rFonts w:hint="eastAsia" w:ascii="宋体" w:hAnsi="宋体"/>
                <w:szCs w:val="21"/>
              </w:rPr>
              <w:t>；</w:t>
            </w:r>
            <w:r>
              <w:rPr>
                <w:rFonts w:ascii="宋体" w:hAnsi="宋体"/>
                <w:szCs w:val="21"/>
              </w:rPr>
              <w:t>凝血与抗凝血平衡紊乱</w:t>
            </w:r>
            <w:r>
              <w:rPr>
                <w:rFonts w:hint="eastAsia" w:ascii="宋体" w:hAnsi="宋体"/>
                <w:szCs w:val="21"/>
              </w:rPr>
              <w:t>；</w:t>
            </w:r>
            <w:r>
              <w:rPr>
                <w:rFonts w:ascii="宋体" w:hAnsi="宋体"/>
                <w:szCs w:val="21"/>
              </w:rPr>
              <w:t>心</w:t>
            </w:r>
            <w:r>
              <w:rPr>
                <w:rFonts w:hint="eastAsia" w:ascii="宋体" w:hAnsi="宋体"/>
                <w:szCs w:val="21"/>
              </w:rPr>
              <w:t>、</w:t>
            </w:r>
            <w:r>
              <w:rPr>
                <w:rFonts w:ascii="宋体" w:hAnsi="宋体"/>
                <w:szCs w:val="21"/>
              </w:rPr>
              <w:t>肺</w:t>
            </w:r>
            <w:r>
              <w:rPr>
                <w:rFonts w:hint="eastAsia" w:ascii="宋体" w:hAnsi="宋体"/>
                <w:szCs w:val="21"/>
              </w:rPr>
              <w:t>、</w:t>
            </w:r>
            <w:r>
              <w:rPr>
                <w:rFonts w:ascii="宋体" w:hAnsi="宋体"/>
                <w:szCs w:val="21"/>
              </w:rPr>
              <w:t>肝</w:t>
            </w:r>
            <w:r>
              <w:rPr>
                <w:rFonts w:hint="eastAsia" w:ascii="宋体" w:hAnsi="宋体"/>
                <w:szCs w:val="21"/>
              </w:rPr>
              <w:t>、</w:t>
            </w:r>
            <w:r>
              <w:rPr>
                <w:rFonts w:ascii="宋体" w:hAnsi="宋体"/>
                <w:szCs w:val="21"/>
              </w:rPr>
              <w:t>肾</w:t>
            </w:r>
            <w:r>
              <w:rPr>
                <w:rFonts w:hint="eastAsia" w:ascii="宋体" w:hAnsi="宋体"/>
                <w:szCs w:val="21"/>
              </w:rPr>
              <w:t>、</w:t>
            </w:r>
            <w:r>
              <w:rPr>
                <w:rFonts w:ascii="宋体" w:hAnsi="宋体"/>
                <w:szCs w:val="21"/>
              </w:rPr>
              <w:t>脑功能不全</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教学要求</w:t>
            </w:r>
          </w:p>
        </w:tc>
        <w:tc>
          <w:tcPr>
            <w:tcW w:w="6520" w:type="dxa"/>
          </w:tcPr>
          <w:p>
            <w:pPr>
              <w:spacing w:line="360" w:lineRule="auto"/>
              <w:outlineLvl w:val="1"/>
              <w:rPr>
                <w:rFonts w:ascii="宋体" w:hAnsi="宋体"/>
                <w:szCs w:val="21"/>
              </w:rPr>
            </w:pPr>
            <w:r>
              <w:rPr>
                <w:rFonts w:hint="eastAsia" w:ascii="宋体" w:hAnsi="宋体"/>
                <w:szCs w:val="21"/>
              </w:rPr>
              <w:t>通过多媒体、数字化教学、案例教学、启发教学、探究教学、任务驱动教学等，线上线下混合教学，使学生从功能和代谢的角度认识疾病的发生、发展和转归，为诊断、治疗疾病奠定基础。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360" w:lineRule="auto"/>
              <w:jc w:val="center"/>
              <w:outlineLvl w:val="1"/>
              <w:rPr>
                <w:rFonts w:ascii="宋体" w:hAnsi="宋体"/>
                <w:szCs w:val="21"/>
              </w:rPr>
            </w:pPr>
            <w:r>
              <w:rPr>
                <w:rFonts w:hint="eastAsia" w:ascii="宋体" w:hAnsi="宋体"/>
                <w:szCs w:val="21"/>
              </w:rPr>
              <w:t>8</w:t>
            </w:r>
          </w:p>
        </w:tc>
        <w:tc>
          <w:tcPr>
            <w:tcW w:w="1134" w:type="dxa"/>
            <w:vMerge w:val="restart"/>
            <w:vAlign w:val="center"/>
          </w:tcPr>
          <w:p>
            <w:pPr>
              <w:spacing w:line="360" w:lineRule="auto"/>
              <w:jc w:val="center"/>
              <w:rPr>
                <w:rFonts w:ascii="宋体" w:hAnsi="宋体"/>
                <w:b/>
                <w:bCs/>
                <w:szCs w:val="21"/>
              </w:rPr>
            </w:pPr>
            <w:r>
              <w:rPr>
                <w:rFonts w:hint="eastAsia" w:ascii="宋体" w:hAnsi="宋体"/>
                <w:szCs w:val="21"/>
              </w:rPr>
              <w:t>免疫学与病原微生物学</w:t>
            </w:r>
          </w:p>
        </w:tc>
        <w:tc>
          <w:tcPr>
            <w:tcW w:w="1560" w:type="dxa"/>
            <w:vAlign w:val="center"/>
          </w:tcPr>
          <w:p>
            <w:pPr>
              <w:spacing w:line="360" w:lineRule="auto"/>
              <w:jc w:val="center"/>
              <w:outlineLvl w:val="1"/>
              <w:rPr>
                <w:rFonts w:ascii="宋体" w:hAnsi="宋体"/>
                <w:szCs w:val="21"/>
              </w:rPr>
            </w:pPr>
            <w:r>
              <w:rPr>
                <w:rFonts w:hint="eastAsia" w:ascii="宋体" w:hAnsi="宋体"/>
                <w:szCs w:val="21"/>
              </w:rPr>
              <w:t>课程目标</w:t>
            </w:r>
          </w:p>
        </w:tc>
        <w:tc>
          <w:tcPr>
            <w:tcW w:w="6520" w:type="dxa"/>
          </w:tcPr>
          <w:p>
            <w:pPr>
              <w:spacing w:line="360" w:lineRule="auto"/>
              <w:outlineLvl w:val="1"/>
              <w:rPr>
                <w:rFonts w:ascii="宋体" w:hAnsi="宋体"/>
                <w:szCs w:val="21"/>
              </w:rPr>
            </w:pPr>
            <w:r>
              <w:rPr>
                <w:rFonts w:hint="eastAsia" w:ascii="宋体" w:hAnsi="宋体"/>
                <w:szCs w:val="21"/>
              </w:rPr>
              <w:t>(1)掌握人体免疫系统的组织结构、功能和免疫应答；掌握病原微生物的生物特性、致病性。(2)学会检测病原微生物。(3)具有卫生宣教、预防保健能力及疾病“三早”能力。(4)树立无菌观念和生物安全意识。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主要教学内容</w:t>
            </w:r>
          </w:p>
        </w:tc>
        <w:tc>
          <w:tcPr>
            <w:tcW w:w="6520" w:type="dxa"/>
          </w:tcPr>
          <w:p>
            <w:pPr>
              <w:spacing w:line="360" w:lineRule="auto"/>
              <w:outlineLvl w:val="1"/>
              <w:rPr>
                <w:rFonts w:ascii="宋体" w:hAnsi="宋体"/>
                <w:szCs w:val="21"/>
              </w:rPr>
            </w:pPr>
            <w:r>
              <w:rPr>
                <w:rFonts w:hint="eastAsia" w:ascii="宋体" w:hAnsi="宋体"/>
                <w:szCs w:val="21"/>
              </w:rPr>
              <w:t>人体免疫系统的组织结构、功能和免疫应答；病原微生物的生物性状、形态结构、抗原物质、遗传变异、致病性、免疫性、特异性。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教学要求</w:t>
            </w:r>
          </w:p>
        </w:tc>
        <w:tc>
          <w:tcPr>
            <w:tcW w:w="6520" w:type="dxa"/>
          </w:tcPr>
          <w:p>
            <w:pPr>
              <w:spacing w:line="360" w:lineRule="auto"/>
              <w:outlineLvl w:val="1"/>
              <w:rPr>
                <w:rFonts w:ascii="宋体" w:hAnsi="宋体"/>
                <w:szCs w:val="21"/>
              </w:rPr>
            </w:pPr>
            <w:r>
              <w:rPr>
                <w:rFonts w:hint="eastAsia" w:ascii="宋体" w:hAnsi="宋体"/>
                <w:szCs w:val="21"/>
              </w:rPr>
              <w:t>通过多媒体、数字化教学、案例教学、启发教学、任务驱动教学、公共突发事件与理论教学相结合等，线上线下混合教学，加深学生对消毒、灭菌、隔离、预防的认识，培养对传染性疾病的防治能力。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360" w:lineRule="auto"/>
              <w:jc w:val="center"/>
              <w:outlineLvl w:val="1"/>
              <w:rPr>
                <w:rFonts w:ascii="宋体" w:hAnsi="宋体"/>
                <w:szCs w:val="21"/>
              </w:rPr>
            </w:pPr>
            <w:r>
              <w:rPr>
                <w:rFonts w:hint="eastAsia" w:ascii="宋体" w:hAnsi="宋体"/>
                <w:szCs w:val="21"/>
              </w:rPr>
              <w:t>9</w:t>
            </w:r>
          </w:p>
        </w:tc>
        <w:tc>
          <w:tcPr>
            <w:tcW w:w="1134" w:type="dxa"/>
            <w:vMerge w:val="restart"/>
            <w:vAlign w:val="center"/>
          </w:tcPr>
          <w:p>
            <w:pPr>
              <w:spacing w:line="360" w:lineRule="auto"/>
              <w:jc w:val="center"/>
              <w:rPr>
                <w:rFonts w:ascii="宋体" w:hAnsi="宋体"/>
                <w:szCs w:val="21"/>
              </w:rPr>
            </w:pPr>
            <w:r>
              <w:rPr>
                <w:rFonts w:hint="eastAsia" w:ascii="宋体" w:hAnsi="宋体"/>
                <w:bCs/>
                <w:szCs w:val="21"/>
              </w:rPr>
              <w:t>药理学</w:t>
            </w:r>
          </w:p>
        </w:tc>
        <w:tc>
          <w:tcPr>
            <w:tcW w:w="1560" w:type="dxa"/>
            <w:vAlign w:val="center"/>
          </w:tcPr>
          <w:p>
            <w:pPr>
              <w:spacing w:line="360" w:lineRule="auto"/>
              <w:jc w:val="center"/>
              <w:outlineLvl w:val="1"/>
              <w:rPr>
                <w:rFonts w:ascii="宋体" w:hAnsi="宋体"/>
                <w:szCs w:val="21"/>
              </w:rPr>
            </w:pPr>
            <w:r>
              <w:rPr>
                <w:rFonts w:hint="eastAsia" w:ascii="宋体" w:hAnsi="宋体"/>
                <w:szCs w:val="21"/>
              </w:rPr>
              <w:t>课程目标</w:t>
            </w:r>
          </w:p>
        </w:tc>
        <w:tc>
          <w:tcPr>
            <w:tcW w:w="6520" w:type="dxa"/>
          </w:tcPr>
          <w:p>
            <w:pPr>
              <w:spacing w:line="360" w:lineRule="auto"/>
              <w:outlineLvl w:val="1"/>
              <w:rPr>
                <w:rFonts w:ascii="宋体" w:hAnsi="宋体"/>
                <w:szCs w:val="21"/>
              </w:rPr>
            </w:pPr>
            <w:r>
              <w:rPr>
                <w:rFonts w:ascii="宋体" w:hAnsi="宋体"/>
                <w:szCs w:val="21"/>
              </w:rPr>
              <w:t>(1)</w:t>
            </w:r>
            <w:r>
              <w:rPr>
                <w:rFonts w:hint="eastAsia" w:ascii="宋体" w:hAnsi="宋体"/>
                <w:szCs w:val="21"/>
              </w:rPr>
              <w:t>掌握常用药物及各类代表药物的药理作用、临床应用、不良反应与注意事项。</w:t>
            </w:r>
            <w:r>
              <w:rPr>
                <w:rFonts w:ascii="宋体" w:hAnsi="宋体"/>
                <w:szCs w:val="21"/>
              </w:rPr>
              <w:t>(2)</w:t>
            </w:r>
            <w:r>
              <w:rPr>
                <w:rFonts w:hint="eastAsia" w:ascii="宋体" w:hAnsi="宋体"/>
                <w:szCs w:val="21"/>
              </w:rPr>
              <w:t>具有指导临床合理、安全、有效用药的能力，能规范开写处方，能进行用药宣教。</w:t>
            </w:r>
            <w:r>
              <w:rPr>
                <w:rFonts w:ascii="宋体" w:hAnsi="宋体"/>
                <w:szCs w:val="21"/>
              </w:rPr>
              <w:t>(3)</w:t>
            </w:r>
            <w:r>
              <w:rPr>
                <w:rFonts w:hint="eastAsia" w:ascii="宋体" w:hAnsi="宋体"/>
                <w:szCs w:val="21"/>
              </w:rPr>
              <w:t>防止滥用药物；具有法制观念，能严格执行中华人民共和国药品管理法。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主要教学内容</w:t>
            </w:r>
          </w:p>
        </w:tc>
        <w:tc>
          <w:tcPr>
            <w:tcW w:w="6520" w:type="dxa"/>
          </w:tcPr>
          <w:p>
            <w:pPr>
              <w:spacing w:line="360" w:lineRule="auto"/>
              <w:outlineLvl w:val="1"/>
              <w:rPr>
                <w:rFonts w:ascii="宋体" w:hAnsi="宋体"/>
                <w:szCs w:val="21"/>
              </w:rPr>
            </w:pPr>
            <w:r>
              <w:rPr>
                <w:rFonts w:hint="eastAsia" w:ascii="宋体" w:hAnsi="宋体"/>
                <w:szCs w:val="21"/>
              </w:rPr>
              <w:t>药物代谢动力学、药物效应动力学；各系统药物和化学治疗药物的药理作用、机理、临床应用、不良反应与禁忌证；国家基本药物政策和药物的合理应用；处方开具规范和患者正确用药指导。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教学要求</w:t>
            </w:r>
          </w:p>
        </w:tc>
        <w:tc>
          <w:tcPr>
            <w:tcW w:w="6520" w:type="dxa"/>
          </w:tcPr>
          <w:p>
            <w:pPr>
              <w:spacing w:line="360" w:lineRule="auto"/>
              <w:outlineLvl w:val="1"/>
              <w:rPr>
                <w:rFonts w:ascii="宋体" w:hAnsi="宋体"/>
                <w:szCs w:val="21"/>
              </w:rPr>
            </w:pPr>
            <w:r>
              <w:rPr>
                <w:rFonts w:hint="eastAsia" w:ascii="宋体" w:hAnsi="宋体"/>
                <w:szCs w:val="21"/>
              </w:rPr>
              <w:t>通过多媒体、数字化教学、案例教学、启发教学、探究教学、任务驱动教学等，线上线下混合教学，使学生对常用药物、各类代表药物的药理作用、临床应用、不良反应、注意事项以及药品管理相关法律法规有较全面的认识，锻炼学生合理、安全、有效用药和规范开写处方的临床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360" w:lineRule="auto"/>
              <w:jc w:val="center"/>
              <w:outlineLvl w:val="1"/>
              <w:rPr>
                <w:rFonts w:ascii="宋体" w:hAnsi="宋体"/>
                <w:szCs w:val="21"/>
              </w:rPr>
            </w:pPr>
            <w:r>
              <w:rPr>
                <w:rFonts w:hint="eastAsia" w:ascii="宋体" w:hAnsi="宋体"/>
                <w:szCs w:val="21"/>
              </w:rPr>
              <w:t>10</w:t>
            </w:r>
          </w:p>
        </w:tc>
        <w:tc>
          <w:tcPr>
            <w:tcW w:w="1134" w:type="dxa"/>
            <w:vMerge w:val="restart"/>
            <w:vAlign w:val="center"/>
          </w:tcPr>
          <w:p>
            <w:pPr>
              <w:spacing w:line="360" w:lineRule="auto"/>
              <w:jc w:val="center"/>
              <w:rPr>
                <w:rFonts w:ascii="宋体" w:hAnsi="宋体"/>
                <w:b/>
                <w:bCs/>
                <w:szCs w:val="21"/>
              </w:rPr>
            </w:pPr>
            <w:r>
              <w:rPr>
                <w:rFonts w:hint="eastAsia" w:ascii="宋体" w:hAnsi="宋体"/>
                <w:szCs w:val="21"/>
              </w:rPr>
              <w:t>医学心理学</w:t>
            </w:r>
          </w:p>
        </w:tc>
        <w:tc>
          <w:tcPr>
            <w:tcW w:w="1560" w:type="dxa"/>
            <w:vAlign w:val="center"/>
          </w:tcPr>
          <w:p>
            <w:pPr>
              <w:spacing w:line="360" w:lineRule="auto"/>
              <w:jc w:val="center"/>
              <w:outlineLvl w:val="1"/>
              <w:rPr>
                <w:rFonts w:ascii="宋体" w:hAnsi="宋体"/>
                <w:szCs w:val="21"/>
              </w:rPr>
            </w:pPr>
            <w:r>
              <w:rPr>
                <w:rFonts w:hint="eastAsia" w:ascii="宋体" w:hAnsi="宋体"/>
                <w:szCs w:val="21"/>
              </w:rPr>
              <w:t>课程目标</w:t>
            </w:r>
          </w:p>
        </w:tc>
        <w:tc>
          <w:tcPr>
            <w:tcW w:w="6520" w:type="dxa"/>
          </w:tcPr>
          <w:p>
            <w:pPr>
              <w:spacing w:line="360" w:lineRule="auto"/>
              <w:outlineLvl w:val="1"/>
              <w:rPr>
                <w:rFonts w:ascii="宋体" w:hAnsi="宋体"/>
                <w:szCs w:val="21"/>
              </w:rPr>
            </w:pPr>
            <w:r>
              <w:rPr>
                <w:rFonts w:ascii="宋体" w:hAnsi="宋体"/>
                <w:szCs w:val="21"/>
              </w:rPr>
              <w:t>(1)</w:t>
            </w:r>
            <w:r>
              <w:rPr>
                <w:rFonts w:hint="eastAsia" w:ascii="宋体" w:hAnsi="宋体"/>
                <w:szCs w:val="21"/>
              </w:rPr>
              <w:t>掌握医学心理学基本知识与基本技能；掌握心理因素与健康和疾病发生、发展、防治的关系。</w:t>
            </w:r>
            <w:r>
              <w:rPr>
                <w:rFonts w:ascii="宋体" w:hAnsi="宋体"/>
                <w:szCs w:val="21"/>
              </w:rPr>
              <w:t>(2)</w:t>
            </w:r>
            <w:r>
              <w:rPr>
                <w:rFonts w:hint="eastAsia" w:ascii="宋体" w:hAnsi="宋体"/>
                <w:szCs w:val="21"/>
              </w:rPr>
              <w:t>具有处理病人心理与行为问题的能力。</w:t>
            </w:r>
            <w:r>
              <w:rPr>
                <w:rFonts w:ascii="宋体" w:hAnsi="宋体"/>
                <w:szCs w:val="21"/>
              </w:rPr>
              <w:t>(3)</w:t>
            </w:r>
            <w:r>
              <w:rPr>
                <w:rFonts w:hint="eastAsia" w:ascii="宋体" w:hAnsi="宋体"/>
                <w:szCs w:val="21"/>
              </w:rPr>
              <w:t>树立疾病与健康的整体观，具有良好的职业心理素质和职业情感。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主要教学内容</w:t>
            </w:r>
          </w:p>
        </w:tc>
        <w:tc>
          <w:tcPr>
            <w:tcW w:w="6520" w:type="dxa"/>
          </w:tcPr>
          <w:p>
            <w:pPr>
              <w:spacing w:line="360" w:lineRule="auto"/>
              <w:outlineLvl w:val="1"/>
              <w:rPr>
                <w:rFonts w:ascii="宋体" w:hAnsi="宋体"/>
                <w:szCs w:val="21"/>
              </w:rPr>
            </w:pPr>
            <w:r>
              <w:rPr>
                <w:rFonts w:hint="eastAsia" w:ascii="宋体" w:hAnsi="宋体"/>
                <w:szCs w:val="21"/>
              </w:rPr>
              <w:t>心理学基础知识、心理因素与健康、心理应激与心身疾病、心理障碍、心理咨询、心理治疗、医患沟通、患者心理问题。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教学要求</w:t>
            </w:r>
          </w:p>
        </w:tc>
        <w:tc>
          <w:tcPr>
            <w:tcW w:w="6520" w:type="dxa"/>
          </w:tcPr>
          <w:p>
            <w:pPr>
              <w:spacing w:line="360" w:lineRule="auto"/>
              <w:outlineLvl w:val="1"/>
              <w:rPr>
                <w:rFonts w:ascii="宋体" w:hAnsi="宋体"/>
                <w:szCs w:val="21"/>
              </w:rPr>
            </w:pPr>
            <w:r>
              <w:rPr>
                <w:rFonts w:hint="eastAsia" w:ascii="宋体" w:hAnsi="宋体"/>
                <w:szCs w:val="21"/>
              </w:rPr>
              <w:t>通过多媒体、数字化教学、案例教学、启发教学、探究教学、任务驱动教学等，线上线下混合教学，使学生认识心理因素对健康的影响，培养学生心理卫生宣传、心理咨询、心理诊断、心理治疗能力。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360" w:lineRule="auto"/>
              <w:jc w:val="center"/>
              <w:outlineLvl w:val="1"/>
              <w:rPr>
                <w:rFonts w:ascii="宋体" w:hAnsi="宋体"/>
                <w:szCs w:val="21"/>
              </w:rPr>
            </w:pPr>
            <w:r>
              <w:rPr>
                <w:rFonts w:hint="eastAsia" w:ascii="宋体" w:hAnsi="宋体"/>
                <w:szCs w:val="21"/>
              </w:rPr>
              <w:t>11</w:t>
            </w:r>
          </w:p>
        </w:tc>
        <w:tc>
          <w:tcPr>
            <w:tcW w:w="1134" w:type="dxa"/>
            <w:vMerge w:val="restart"/>
            <w:vAlign w:val="center"/>
          </w:tcPr>
          <w:p>
            <w:pPr>
              <w:spacing w:line="360" w:lineRule="auto"/>
              <w:jc w:val="center"/>
              <w:rPr>
                <w:rFonts w:ascii="宋体" w:hAnsi="宋体"/>
                <w:szCs w:val="21"/>
              </w:rPr>
            </w:pPr>
            <w:r>
              <w:rPr>
                <w:rFonts w:hint="eastAsia" w:ascii="宋体" w:hAnsi="宋体"/>
                <w:szCs w:val="21"/>
              </w:rPr>
              <w:t>医患沟通</w:t>
            </w:r>
          </w:p>
        </w:tc>
        <w:tc>
          <w:tcPr>
            <w:tcW w:w="1560" w:type="dxa"/>
            <w:vAlign w:val="center"/>
          </w:tcPr>
          <w:p>
            <w:pPr>
              <w:spacing w:line="360" w:lineRule="auto"/>
              <w:jc w:val="center"/>
              <w:outlineLvl w:val="1"/>
              <w:rPr>
                <w:rFonts w:ascii="宋体" w:hAnsi="宋体"/>
                <w:szCs w:val="21"/>
              </w:rPr>
            </w:pPr>
            <w:r>
              <w:rPr>
                <w:rFonts w:hint="eastAsia" w:ascii="宋体" w:hAnsi="宋体"/>
                <w:szCs w:val="21"/>
              </w:rPr>
              <w:t>课程目标</w:t>
            </w:r>
          </w:p>
        </w:tc>
        <w:tc>
          <w:tcPr>
            <w:tcW w:w="6520" w:type="dxa"/>
          </w:tcPr>
          <w:p>
            <w:pPr>
              <w:spacing w:line="360" w:lineRule="auto"/>
              <w:outlineLvl w:val="1"/>
              <w:rPr>
                <w:rFonts w:ascii="宋体" w:hAnsi="宋体"/>
                <w:szCs w:val="21"/>
              </w:rPr>
            </w:pPr>
            <w:r>
              <w:rPr>
                <w:rFonts w:hint="eastAsia" w:ascii="宋体" w:hAnsi="宋体"/>
                <w:szCs w:val="21"/>
              </w:rPr>
              <w:t>（1）理解医患沟通的理论基础、原理、方法与途径。（2）熟悉临床各学科医患沟通要点。（3）掌握医患沟通基本原则和沟通技巧，具有医患沟通能力和应对医患纠纷的沟通能力。（4）树立现代人文精神，建立和谐医患关系，尊重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主要教学内容</w:t>
            </w:r>
          </w:p>
        </w:tc>
        <w:tc>
          <w:tcPr>
            <w:tcW w:w="6520" w:type="dxa"/>
          </w:tcPr>
          <w:p>
            <w:pPr>
              <w:spacing w:line="360" w:lineRule="auto"/>
              <w:outlineLvl w:val="1"/>
              <w:rPr>
                <w:rFonts w:ascii="宋体" w:hAnsi="宋体"/>
                <w:szCs w:val="21"/>
              </w:rPr>
            </w:pPr>
            <w:r>
              <w:rPr>
                <w:rFonts w:hint="eastAsia" w:ascii="宋体" w:hAnsi="宋体"/>
                <w:szCs w:val="21"/>
              </w:rPr>
              <w:t>人与医学、医患沟通主要理论基础、医患沟通原理、医患沟通方法与途径、门诊和急诊医患沟通、临床各科的医患沟通、护患沟通、医患纠纷中的医患沟通。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教学要求</w:t>
            </w:r>
          </w:p>
        </w:tc>
        <w:tc>
          <w:tcPr>
            <w:tcW w:w="6520" w:type="dxa"/>
          </w:tcPr>
          <w:p>
            <w:pPr>
              <w:spacing w:line="360" w:lineRule="auto"/>
              <w:outlineLvl w:val="1"/>
              <w:rPr>
                <w:rFonts w:ascii="宋体" w:hAnsi="宋体"/>
                <w:szCs w:val="21"/>
              </w:rPr>
            </w:pPr>
            <w:r>
              <w:rPr>
                <w:rFonts w:hint="eastAsia" w:ascii="宋体" w:hAnsi="宋体"/>
                <w:szCs w:val="21"/>
              </w:rPr>
              <w:t>通过多媒体、数字化教学、课堂问题讨论、课堂情景模拟、模拟病房陪护患者、课堂案例讨论、专业网站引导自学等，线上线下混合教学，使学生学会以沟通医患双方相关信息来优化诊疗伤病、改善医患关系，将心理和社会因素转化为积极有效的手段与方法，维护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360" w:lineRule="auto"/>
              <w:jc w:val="center"/>
              <w:outlineLvl w:val="1"/>
              <w:rPr>
                <w:rFonts w:ascii="宋体" w:hAnsi="宋体"/>
                <w:szCs w:val="21"/>
              </w:rPr>
            </w:pPr>
            <w:r>
              <w:rPr>
                <w:rFonts w:hint="eastAsia" w:ascii="宋体" w:hAnsi="宋体"/>
                <w:szCs w:val="21"/>
              </w:rPr>
              <w:t>12</w:t>
            </w:r>
          </w:p>
        </w:tc>
        <w:tc>
          <w:tcPr>
            <w:tcW w:w="1134" w:type="dxa"/>
            <w:vMerge w:val="restart"/>
            <w:vAlign w:val="center"/>
          </w:tcPr>
          <w:p>
            <w:pPr>
              <w:spacing w:line="360" w:lineRule="auto"/>
              <w:jc w:val="center"/>
              <w:rPr>
                <w:rFonts w:ascii="宋体" w:hAnsi="宋体"/>
                <w:szCs w:val="21"/>
              </w:rPr>
            </w:pPr>
            <w:r>
              <w:rPr>
                <w:rFonts w:hint="eastAsia" w:ascii="宋体" w:hAnsi="宋体"/>
                <w:szCs w:val="21"/>
              </w:rPr>
              <w:t>卫生法律法规</w:t>
            </w:r>
          </w:p>
        </w:tc>
        <w:tc>
          <w:tcPr>
            <w:tcW w:w="1560" w:type="dxa"/>
            <w:vAlign w:val="center"/>
          </w:tcPr>
          <w:p>
            <w:pPr>
              <w:spacing w:line="360" w:lineRule="auto"/>
              <w:jc w:val="center"/>
              <w:outlineLvl w:val="1"/>
              <w:rPr>
                <w:rFonts w:ascii="宋体" w:hAnsi="宋体"/>
                <w:szCs w:val="21"/>
              </w:rPr>
            </w:pPr>
            <w:r>
              <w:rPr>
                <w:rFonts w:hint="eastAsia" w:ascii="宋体" w:hAnsi="宋体"/>
                <w:szCs w:val="21"/>
              </w:rPr>
              <w:t>课程目标</w:t>
            </w:r>
          </w:p>
        </w:tc>
        <w:tc>
          <w:tcPr>
            <w:tcW w:w="6520" w:type="dxa"/>
          </w:tcPr>
          <w:p>
            <w:pPr>
              <w:spacing w:line="360" w:lineRule="auto"/>
              <w:outlineLvl w:val="1"/>
              <w:rPr>
                <w:rFonts w:ascii="宋体" w:hAnsi="宋体"/>
                <w:szCs w:val="21"/>
              </w:rPr>
            </w:pPr>
            <w:r>
              <w:rPr>
                <w:rFonts w:ascii="宋体" w:hAnsi="宋体"/>
                <w:szCs w:val="21"/>
              </w:rPr>
              <w:t>(1)</w:t>
            </w:r>
            <w:r>
              <w:rPr>
                <w:rFonts w:hint="eastAsia" w:ascii="宋体" w:hAnsi="宋体"/>
                <w:szCs w:val="21"/>
              </w:rPr>
              <w:t>掌握卫生法律法规基本知识及相关制度。</w:t>
            </w:r>
            <w:r>
              <w:rPr>
                <w:rFonts w:ascii="宋体" w:hAnsi="宋体"/>
                <w:szCs w:val="21"/>
              </w:rPr>
              <w:t>(2)</w:t>
            </w:r>
            <w:r>
              <w:rPr>
                <w:rFonts w:hint="eastAsia" w:ascii="宋体" w:hAnsi="宋体"/>
                <w:szCs w:val="21"/>
              </w:rPr>
              <w:t>具有规避医疗风险、评价医护患行为是否合理合法、解决医护患纠纷的能力。</w:t>
            </w:r>
            <w:r>
              <w:rPr>
                <w:rFonts w:ascii="宋体" w:hAnsi="宋体"/>
                <w:szCs w:val="21"/>
              </w:rPr>
              <w:t>(3)</w:t>
            </w:r>
            <w:r>
              <w:rPr>
                <w:rFonts w:hint="eastAsia" w:ascii="宋体" w:hAnsi="宋体"/>
                <w:szCs w:val="21"/>
              </w:rPr>
              <w:t>树立法制观念，尊重法律权威。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主要教学内容</w:t>
            </w:r>
          </w:p>
        </w:tc>
        <w:tc>
          <w:tcPr>
            <w:tcW w:w="6520" w:type="dxa"/>
          </w:tcPr>
          <w:p>
            <w:pPr>
              <w:spacing w:line="360" w:lineRule="auto"/>
              <w:outlineLvl w:val="1"/>
              <w:rPr>
                <w:rFonts w:ascii="宋体" w:hAnsi="宋体"/>
                <w:szCs w:val="21"/>
              </w:rPr>
            </w:pPr>
            <w:r>
              <w:rPr>
                <w:rFonts w:hint="eastAsia" w:ascii="宋体" w:hAnsi="宋体"/>
                <w:szCs w:val="21"/>
              </w:rPr>
              <w:t>卫生法知识；医学相关法律法规、防治条例及疫苗流通和接种管理、抗菌药物应用管理等。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教学要求</w:t>
            </w:r>
          </w:p>
        </w:tc>
        <w:tc>
          <w:tcPr>
            <w:tcW w:w="6520" w:type="dxa"/>
          </w:tcPr>
          <w:p>
            <w:pPr>
              <w:spacing w:line="360" w:lineRule="auto"/>
              <w:outlineLvl w:val="1"/>
              <w:rPr>
                <w:rFonts w:ascii="宋体" w:hAnsi="宋体"/>
                <w:szCs w:val="21"/>
              </w:rPr>
            </w:pPr>
            <w:r>
              <w:rPr>
                <w:rFonts w:hint="eastAsia" w:ascii="宋体" w:hAnsi="宋体"/>
                <w:szCs w:val="21"/>
              </w:rPr>
              <w:t>通过多媒体、数字化教学、案例教学等，线上线下混合教学，培养学生法律法规意识，自觉调整、约束和规范自己的言行，依法维护医护患的合法权益。</w:t>
            </w:r>
          </w:p>
        </w:tc>
      </w:tr>
    </w:tbl>
    <w:p>
      <w:pPr>
        <w:spacing w:line="360" w:lineRule="auto"/>
        <w:ind w:firstLine="482" w:firstLineChars="200"/>
        <w:jc w:val="left"/>
        <w:outlineLvl w:val="1"/>
        <w:rPr>
          <w:rFonts w:ascii="宋体" w:hAnsi="宋体"/>
          <w:b/>
          <w:sz w:val="24"/>
          <w:szCs w:val="24"/>
        </w:rPr>
      </w:pPr>
      <w:r>
        <w:rPr>
          <w:rFonts w:hint="eastAsia" w:ascii="宋体" w:hAnsi="宋体"/>
          <w:b/>
          <w:sz w:val="24"/>
          <w:szCs w:val="24"/>
        </w:rPr>
        <w:t>（三）专业核心课程</w:t>
      </w:r>
    </w:p>
    <w:p>
      <w:pPr>
        <w:spacing w:line="360" w:lineRule="auto"/>
        <w:ind w:firstLine="480" w:firstLineChars="200"/>
        <w:outlineLvl w:val="1"/>
        <w:rPr>
          <w:rFonts w:ascii="宋体" w:hAnsi="宋体"/>
          <w:sz w:val="24"/>
          <w:szCs w:val="24"/>
        </w:rPr>
      </w:pPr>
      <w:r>
        <w:rPr>
          <w:rFonts w:hint="eastAsia" w:ascii="宋体" w:hAnsi="宋体"/>
          <w:sz w:val="24"/>
          <w:szCs w:val="24"/>
        </w:rPr>
        <w:t>专业核心课程重在培养学生的职业态度，重在使学生掌握临床常见病、多发病及急危重症的预防、诊断、治疗、康复、保健、健康教育等专业核心技能知识及其应用。</w:t>
      </w:r>
    </w:p>
    <w:p>
      <w:pPr>
        <w:spacing w:line="360" w:lineRule="auto"/>
        <w:ind w:firstLine="480" w:firstLineChars="200"/>
        <w:outlineLvl w:val="1"/>
        <w:rPr>
          <w:rFonts w:ascii="宋体" w:hAnsi="宋体"/>
          <w:sz w:val="24"/>
          <w:szCs w:val="24"/>
        </w:rPr>
      </w:pPr>
      <w:r>
        <w:rPr>
          <w:rFonts w:hint="eastAsia" w:ascii="宋体" w:hAnsi="宋体"/>
          <w:sz w:val="24"/>
          <w:szCs w:val="24"/>
        </w:rPr>
        <w:t>课程设置包括诊断学、</w:t>
      </w:r>
      <w:r>
        <w:rPr>
          <w:rFonts w:hint="eastAsia" w:ascii="宋体" w:hAnsi="宋体"/>
          <w:bCs/>
          <w:sz w:val="24"/>
          <w:szCs w:val="24"/>
        </w:rPr>
        <w:t>预防医学、传染病学、</w:t>
      </w:r>
      <w:r>
        <w:rPr>
          <w:rFonts w:hint="eastAsia" w:ascii="宋体" w:hAnsi="宋体"/>
          <w:sz w:val="24"/>
          <w:szCs w:val="24"/>
        </w:rPr>
        <w:t>内科学、外科学、妇产科学、儿科学、急救医学、基本公共卫生服务实务。课程目标、主要教学内容、教学要求详见表6。</w:t>
      </w:r>
    </w:p>
    <w:p>
      <w:pPr>
        <w:spacing w:line="360" w:lineRule="auto"/>
        <w:jc w:val="center"/>
        <w:outlineLvl w:val="1"/>
        <w:rPr>
          <w:rFonts w:ascii="宋体" w:hAnsi="宋体"/>
          <w:b/>
          <w:szCs w:val="21"/>
        </w:rPr>
      </w:pPr>
      <w:r>
        <w:rPr>
          <w:rFonts w:hint="eastAsia" w:ascii="宋体" w:hAnsi="宋体"/>
          <w:b/>
          <w:szCs w:val="21"/>
        </w:rPr>
        <w:t>表6  专业核心课课程目标、主要教学内容、教学要求</w:t>
      </w:r>
    </w:p>
    <w:tbl>
      <w:tblPr>
        <w:tblStyle w:val="1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4"/>
        <w:gridCol w:w="156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92D050"/>
          </w:tcPr>
          <w:p>
            <w:pPr>
              <w:spacing w:line="360" w:lineRule="auto"/>
              <w:jc w:val="center"/>
              <w:outlineLvl w:val="1"/>
              <w:rPr>
                <w:rFonts w:ascii="宋体" w:hAnsi="宋体"/>
                <w:b/>
                <w:szCs w:val="21"/>
              </w:rPr>
            </w:pPr>
            <w:r>
              <w:rPr>
                <w:rFonts w:hint="eastAsia" w:ascii="宋体" w:hAnsi="宋体"/>
                <w:szCs w:val="21"/>
              </w:rPr>
              <w:t>序号</w:t>
            </w:r>
          </w:p>
        </w:tc>
        <w:tc>
          <w:tcPr>
            <w:tcW w:w="1134" w:type="dxa"/>
            <w:shd w:val="clear" w:color="auto" w:fill="92D050"/>
          </w:tcPr>
          <w:p>
            <w:pPr>
              <w:spacing w:line="360" w:lineRule="auto"/>
              <w:jc w:val="center"/>
              <w:outlineLvl w:val="1"/>
              <w:rPr>
                <w:rFonts w:ascii="宋体" w:hAnsi="宋体"/>
                <w:b/>
                <w:szCs w:val="21"/>
              </w:rPr>
            </w:pPr>
            <w:r>
              <w:rPr>
                <w:rFonts w:hint="eastAsia" w:ascii="宋体" w:hAnsi="宋体"/>
                <w:szCs w:val="21"/>
              </w:rPr>
              <w:t>课程名称</w:t>
            </w:r>
          </w:p>
        </w:tc>
        <w:tc>
          <w:tcPr>
            <w:tcW w:w="1560" w:type="dxa"/>
            <w:shd w:val="clear" w:color="auto" w:fill="92D050"/>
          </w:tcPr>
          <w:p>
            <w:pPr>
              <w:spacing w:line="360" w:lineRule="auto"/>
              <w:jc w:val="center"/>
              <w:outlineLvl w:val="1"/>
              <w:rPr>
                <w:rFonts w:ascii="宋体" w:hAnsi="宋体"/>
                <w:szCs w:val="21"/>
              </w:rPr>
            </w:pPr>
            <w:r>
              <w:rPr>
                <w:rFonts w:hint="eastAsia" w:ascii="宋体" w:hAnsi="宋体"/>
                <w:szCs w:val="21"/>
              </w:rPr>
              <w:t>项目</w:t>
            </w:r>
          </w:p>
        </w:tc>
        <w:tc>
          <w:tcPr>
            <w:tcW w:w="6520" w:type="dxa"/>
            <w:shd w:val="clear" w:color="auto" w:fill="92D050"/>
          </w:tcPr>
          <w:p>
            <w:pPr>
              <w:spacing w:line="360" w:lineRule="auto"/>
              <w:jc w:val="center"/>
              <w:outlineLvl w:val="1"/>
              <w:rPr>
                <w:rFonts w:ascii="宋体" w:hAnsi="宋体"/>
                <w:szCs w:val="21"/>
              </w:rPr>
            </w:pP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360" w:lineRule="auto"/>
              <w:jc w:val="center"/>
              <w:outlineLvl w:val="1"/>
              <w:rPr>
                <w:rFonts w:ascii="宋体" w:hAnsi="宋体"/>
                <w:szCs w:val="21"/>
              </w:rPr>
            </w:pPr>
            <w:r>
              <w:rPr>
                <w:rFonts w:hint="eastAsia" w:ascii="宋体" w:hAnsi="宋体"/>
                <w:szCs w:val="21"/>
              </w:rPr>
              <w:t xml:space="preserve"> 1</w:t>
            </w:r>
          </w:p>
        </w:tc>
        <w:tc>
          <w:tcPr>
            <w:tcW w:w="1134" w:type="dxa"/>
            <w:vMerge w:val="restart"/>
            <w:vAlign w:val="center"/>
          </w:tcPr>
          <w:p>
            <w:pPr>
              <w:spacing w:line="360" w:lineRule="auto"/>
              <w:jc w:val="center"/>
              <w:rPr>
                <w:rFonts w:ascii="宋体" w:hAnsi="宋体"/>
                <w:bCs/>
                <w:szCs w:val="21"/>
              </w:rPr>
            </w:pPr>
            <w:r>
              <w:rPr>
                <w:rFonts w:hint="eastAsia" w:ascii="宋体" w:hAnsi="宋体"/>
                <w:szCs w:val="21"/>
              </w:rPr>
              <w:t>诊断学</w:t>
            </w:r>
          </w:p>
        </w:tc>
        <w:tc>
          <w:tcPr>
            <w:tcW w:w="1560" w:type="dxa"/>
            <w:vAlign w:val="center"/>
          </w:tcPr>
          <w:p>
            <w:pPr>
              <w:spacing w:line="360" w:lineRule="auto"/>
              <w:jc w:val="center"/>
              <w:outlineLvl w:val="1"/>
              <w:rPr>
                <w:rFonts w:ascii="宋体" w:hAnsi="宋体"/>
                <w:szCs w:val="21"/>
              </w:rPr>
            </w:pPr>
            <w:r>
              <w:rPr>
                <w:rFonts w:hint="eastAsia" w:ascii="宋体" w:hAnsi="宋体"/>
                <w:szCs w:val="21"/>
              </w:rPr>
              <w:t>课程目标</w:t>
            </w:r>
          </w:p>
        </w:tc>
        <w:tc>
          <w:tcPr>
            <w:tcW w:w="6520" w:type="dxa"/>
          </w:tcPr>
          <w:p>
            <w:pPr>
              <w:spacing w:line="360" w:lineRule="auto"/>
              <w:outlineLvl w:val="1"/>
              <w:rPr>
                <w:rFonts w:ascii="宋体" w:hAnsi="宋体"/>
                <w:szCs w:val="21"/>
              </w:rPr>
            </w:pPr>
            <w:r>
              <w:rPr>
                <w:rFonts w:ascii="宋体" w:hAnsi="宋体"/>
                <w:szCs w:val="21"/>
              </w:rPr>
              <w:t>(1)</w:t>
            </w:r>
            <w:r>
              <w:rPr>
                <w:rFonts w:hint="eastAsia" w:ascii="宋体" w:hAnsi="宋体"/>
                <w:szCs w:val="21"/>
              </w:rPr>
              <w:t>掌握各种常见症状的病因、发病机制、临床表现；掌握问诊的主要内容、方法与技巧；掌握体格检查的正确方法、重要体征及其临床意义；掌握常见辅助检查的临床应用；掌握病历书写的基本要求、内容、格式。</w:t>
            </w:r>
            <w:r>
              <w:rPr>
                <w:rFonts w:ascii="宋体" w:hAnsi="宋体"/>
                <w:szCs w:val="21"/>
              </w:rPr>
              <w:t>(2)</w:t>
            </w:r>
            <w:r>
              <w:rPr>
                <w:rFonts w:hint="eastAsia" w:ascii="宋体" w:hAnsi="宋体"/>
                <w:szCs w:val="21"/>
              </w:rPr>
              <w:t>能熟练进行诊断学基本技能操作，能正确判断检查结果。</w:t>
            </w:r>
            <w:r>
              <w:rPr>
                <w:rFonts w:ascii="宋体" w:hAnsi="宋体"/>
                <w:szCs w:val="21"/>
              </w:rPr>
              <w:t xml:space="preserve"> (3</w:t>
            </w:r>
            <w:r>
              <w:rPr>
                <w:rFonts w:hint="eastAsia" w:ascii="宋体" w:hAnsi="宋体"/>
                <w:szCs w:val="21"/>
              </w:rPr>
              <w:t>)能系统性、针对性问诊和体格检查，学会分析症状的临床特点、伴随症状及辅助检查结果，做出初步诊断，能规范书写医学文书。</w:t>
            </w:r>
            <w:r>
              <w:rPr>
                <w:rFonts w:ascii="宋体" w:hAnsi="宋体"/>
                <w:szCs w:val="21"/>
              </w:rPr>
              <w:t>(4)</w:t>
            </w:r>
            <w:r>
              <w:rPr>
                <w:rFonts w:hint="eastAsia" w:ascii="宋体" w:hAnsi="宋体"/>
                <w:szCs w:val="21"/>
              </w:rPr>
              <w:t>具有敏锐的观察力，尊重患者，保护患者隐私。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主要教学内容</w:t>
            </w:r>
          </w:p>
        </w:tc>
        <w:tc>
          <w:tcPr>
            <w:tcW w:w="6520" w:type="dxa"/>
          </w:tcPr>
          <w:p>
            <w:pPr>
              <w:spacing w:line="360" w:lineRule="auto"/>
              <w:outlineLvl w:val="1"/>
              <w:rPr>
                <w:rFonts w:ascii="宋体" w:hAnsi="宋体"/>
                <w:szCs w:val="21"/>
              </w:rPr>
            </w:pPr>
            <w:r>
              <w:rPr>
                <w:rFonts w:hint="eastAsia" w:ascii="宋体" w:hAnsi="宋体"/>
                <w:szCs w:val="21"/>
              </w:rPr>
              <w:t>临床常见症状的病因、发生机理、临床表现和鉴别诊断；系统问诊的方法、技巧和注意事项；常用体格检查方法及应用，不同系统和器官体格检查的特点及其与疾病发展的关系；常用辅助检查方法的应用和结果判断；医学文书的书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教学要求</w:t>
            </w:r>
          </w:p>
        </w:tc>
        <w:tc>
          <w:tcPr>
            <w:tcW w:w="6520" w:type="dxa"/>
          </w:tcPr>
          <w:p>
            <w:pPr>
              <w:spacing w:line="360" w:lineRule="auto"/>
              <w:outlineLvl w:val="1"/>
              <w:rPr>
                <w:rFonts w:ascii="宋体" w:hAnsi="宋体"/>
                <w:szCs w:val="21"/>
              </w:rPr>
            </w:pPr>
            <w:r>
              <w:rPr>
                <w:rFonts w:hint="eastAsia" w:ascii="宋体" w:hAnsi="宋体"/>
                <w:szCs w:val="21"/>
              </w:rPr>
              <w:t>通过多媒体、数字化教学、案例教学、启发教学、探究教学、仿真实训、教学做一体化教学、临床见习等，线上线下混合教学，使学生认识正确问诊和体格检查的重要性，培养分析症状的临床特点、伴随症状及辅助检查结果的能力及规范书写医学文书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360" w:lineRule="auto"/>
              <w:jc w:val="center"/>
              <w:outlineLvl w:val="1"/>
              <w:rPr>
                <w:rFonts w:ascii="宋体" w:hAnsi="宋体"/>
                <w:szCs w:val="21"/>
              </w:rPr>
            </w:pPr>
            <w:r>
              <w:rPr>
                <w:rFonts w:hint="eastAsia" w:ascii="宋体" w:hAnsi="宋体"/>
                <w:szCs w:val="21"/>
              </w:rPr>
              <w:t>2</w:t>
            </w:r>
          </w:p>
        </w:tc>
        <w:tc>
          <w:tcPr>
            <w:tcW w:w="1134" w:type="dxa"/>
            <w:vMerge w:val="restart"/>
            <w:vAlign w:val="center"/>
          </w:tcPr>
          <w:p>
            <w:pPr>
              <w:spacing w:line="360" w:lineRule="auto"/>
              <w:jc w:val="center"/>
              <w:rPr>
                <w:rFonts w:ascii="宋体" w:hAnsi="宋体"/>
                <w:bCs/>
                <w:szCs w:val="21"/>
              </w:rPr>
            </w:pPr>
            <w:r>
              <w:rPr>
                <w:rFonts w:hint="eastAsia" w:ascii="宋体" w:hAnsi="宋体"/>
                <w:bCs/>
                <w:szCs w:val="21"/>
              </w:rPr>
              <w:t>预防医学</w:t>
            </w:r>
          </w:p>
        </w:tc>
        <w:tc>
          <w:tcPr>
            <w:tcW w:w="1560" w:type="dxa"/>
            <w:vAlign w:val="center"/>
          </w:tcPr>
          <w:p>
            <w:pPr>
              <w:spacing w:line="360" w:lineRule="auto"/>
              <w:jc w:val="center"/>
              <w:outlineLvl w:val="1"/>
              <w:rPr>
                <w:rFonts w:ascii="宋体" w:hAnsi="宋体"/>
                <w:szCs w:val="21"/>
              </w:rPr>
            </w:pPr>
            <w:r>
              <w:rPr>
                <w:rFonts w:hint="eastAsia" w:ascii="宋体" w:hAnsi="宋体"/>
                <w:szCs w:val="21"/>
              </w:rPr>
              <w:t>课程目标</w:t>
            </w:r>
          </w:p>
        </w:tc>
        <w:tc>
          <w:tcPr>
            <w:tcW w:w="6520" w:type="dxa"/>
          </w:tcPr>
          <w:p>
            <w:pPr>
              <w:spacing w:line="360" w:lineRule="auto"/>
              <w:outlineLvl w:val="1"/>
              <w:rPr>
                <w:rFonts w:ascii="宋体" w:hAnsi="宋体"/>
                <w:szCs w:val="21"/>
              </w:rPr>
            </w:pPr>
            <w:r>
              <w:rPr>
                <w:rFonts w:ascii="宋体" w:hAnsi="宋体"/>
                <w:szCs w:val="21"/>
              </w:rPr>
              <w:t>(1)</w:t>
            </w:r>
            <w:r>
              <w:rPr>
                <w:rFonts w:hint="eastAsia" w:ascii="宋体" w:hAnsi="宋体"/>
                <w:szCs w:val="21"/>
              </w:rPr>
              <w:t>掌握影响健康的因素和对健康危险因素的识别、控制的知识；掌握文献检索、计算机应用及统计分析的方法。</w:t>
            </w:r>
            <w:r>
              <w:rPr>
                <w:rFonts w:ascii="宋体" w:hAnsi="宋体"/>
                <w:szCs w:val="21"/>
              </w:rPr>
              <w:t>(2)</w:t>
            </w:r>
            <w:r>
              <w:rPr>
                <w:rFonts w:hint="eastAsia" w:ascii="宋体" w:hAnsi="宋体"/>
                <w:szCs w:val="21"/>
              </w:rPr>
              <w:t>具有对人群劳动、生活、学习、环境和食品进行卫生检测、监督的基本能力和防疫工作的基本能力；具有分析影响人群健康的各种因素和疾病流行规律，制定预防疾病和增进人群健康措施与计划的能力。</w:t>
            </w:r>
            <w:r>
              <w:rPr>
                <w:rFonts w:ascii="宋体" w:hAnsi="宋体"/>
                <w:szCs w:val="21"/>
              </w:rPr>
              <w:t>(3)</w:t>
            </w:r>
            <w:r>
              <w:rPr>
                <w:rFonts w:hint="eastAsia" w:ascii="宋体" w:hAnsi="宋体"/>
                <w:szCs w:val="21"/>
              </w:rPr>
              <w:t>树立主动健康、未病先防的健康理念。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主要教学内容</w:t>
            </w:r>
          </w:p>
        </w:tc>
        <w:tc>
          <w:tcPr>
            <w:tcW w:w="6520" w:type="dxa"/>
          </w:tcPr>
          <w:p>
            <w:pPr>
              <w:spacing w:line="360" w:lineRule="auto"/>
              <w:outlineLvl w:val="1"/>
              <w:rPr>
                <w:rFonts w:ascii="宋体" w:hAnsi="宋体"/>
                <w:szCs w:val="21"/>
              </w:rPr>
            </w:pPr>
            <w:r>
              <w:rPr>
                <w:rFonts w:hint="eastAsia" w:ascii="宋体" w:hAnsi="宋体"/>
                <w:szCs w:val="21"/>
              </w:rPr>
              <w:t>预防医学的研究方法及与临床医学的关系；环境污染对健康的影响，环境污染的防制对策；生活环境与健康；生产环境与健康；营养与健康；人群健康研究的统计学方法；人群健康研究的流行病学方法。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教学要求</w:t>
            </w:r>
          </w:p>
        </w:tc>
        <w:tc>
          <w:tcPr>
            <w:tcW w:w="6520" w:type="dxa"/>
          </w:tcPr>
          <w:p>
            <w:pPr>
              <w:spacing w:line="360" w:lineRule="auto"/>
              <w:outlineLvl w:val="1"/>
              <w:rPr>
                <w:rFonts w:ascii="宋体" w:hAnsi="宋体"/>
                <w:szCs w:val="21"/>
              </w:rPr>
            </w:pPr>
            <w:r>
              <w:rPr>
                <w:rFonts w:hint="eastAsia" w:ascii="宋体" w:hAnsi="宋体"/>
                <w:szCs w:val="21"/>
              </w:rPr>
              <w:t>通过多媒体、数字化教学、案例教学、启发教学、任务驱动教学、探究教学等，线上线下混合教学，培养学生运用预防医学思维方法和医用统计学手段，开展社区公共卫生、疾病防治和人群保健工作的能力。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360" w:lineRule="auto"/>
              <w:jc w:val="center"/>
              <w:outlineLvl w:val="1"/>
              <w:rPr>
                <w:rFonts w:ascii="宋体" w:hAnsi="宋体"/>
                <w:szCs w:val="21"/>
              </w:rPr>
            </w:pPr>
            <w:r>
              <w:rPr>
                <w:rFonts w:hint="eastAsia" w:ascii="宋体" w:hAnsi="宋体"/>
                <w:szCs w:val="21"/>
              </w:rPr>
              <w:t>3</w:t>
            </w:r>
          </w:p>
        </w:tc>
        <w:tc>
          <w:tcPr>
            <w:tcW w:w="1134" w:type="dxa"/>
            <w:vMerge w:val="restart"/>
            <w:vAlign w:val="center"/>
          </w:tcPr>
          <w:p>
            <w:pPr>
              <w:spacing w:line="360" w:lineRule="auto"/>
              <w:jc w:val="center"/>
              <w:rPr>
                <w:rFonts w:ascii="宋体" w:hAnsi="宋体"/>
                <w:b/>
                <w:bCs/>
                <w:szCs w:val="21"/>
              </w:rPr>
            </w:pPr>
            <w:r>
              <w:rPr>
                <w:rFonts w:hint="eastAsia" w:ascii="宋体" w:hAnsi="宋体"/>
                <w:szCs w:val="21"/>
              </w:rPr>
              <w:t>内科学</w:t>
            </w:r>
          </w:p>
        </w:tc>
        <w:tc>
          <w:tcPr>
            <w:tcW w:w="1560" w:type="dxa"/>
            <w:vAlign w:val="center"/>
          </w:tcPr>
          <w:p>
            <w:pPr>
              <w:spacing w:line="360" w:lineRule="auto"/>
              <w:jc w:val="center"/>
              <w:outlineLvl w:val="1"/>
              <w:rPr>
                <w:rFonts w:ascii="宋体" w:hAnsi="宋体"/>
                <w:szCs w:val="21"/>
              </w:rPr>
            </w:pPr>
            <w:r>
              <w:rPr>
                <w:rFonts w:hint="eastAsia" w:ascii="宋体" w:hAnsi="宋体"/>
                <w:szCs w:val="21"/>
              </w:rPr>
              <w:t>课程目标</w:t>
            </w:r>
          </w:p>
        </w:tc>
        <w:tc>
          <w:tcPr>
            <w:tcW w:w="6520" w:type="dxa"/>
          </w:tcPr>
          <w:p>
            <w:pPr>
              <w:spacing w:line="360" w:lineRule="auto"/>
              <w:outlineLvl w:val="1"/>
              <w:rPr>
                <w:rFonts w:ascii="宋体" w:hAnsi="宋体"/>
                <w:szCs w:val="21"/>
              </w:rPr>
            </w:pPr>
            <w:r>
              <w:rPr>
                <w:rFonts w:ascii="宋体" w:hAnsi="宋体"/>
                <w:szCs w:val="21"/>
              </w:rPr>
              <w:t>(1)</w:t>
            </w:r>
            <w:r>
              <w:rPr>
                <w:rFonts w:hint="eastAsia" w:ascii="宋体" w:hAnsi="宋体"/>
                <w:szCs w:val="21"/>
              </w:rPr>
              <w:t>掌握内科常见病、多发病的临床表现、诊断要点、防治措施以及急危重症的急救原则和转诊。</w:t>
            </w:r>
            <w:r>
              <w:rPr>
                <w:rFonts w:ascii="宋体" w:hAnsi="宋体"/>
                <w:szCs w:val="21"/>
              </w:rPr>
              <w:t>(2)</w:t>
            </w:r>
            <w:r>
              <w:rPr>
                <w:rFonts w:hint="eastAsia" w:ascii="宋体" w:hAnsi="宋体"/>
                <w:szCs w:val="21"/>
              </w:rPr>
              <w:t xml:space="preserve"> 能熟练进行日常诊疗工作，具有诊治内科疾病和预防保健指导能力，具有对危急重症初步处理和正确转诊能力。</w:t>
            </w:r>
            <w:r>
              <w:rPr>
                <w:rFonts w:ascii="宋体" w:hAnsi="宋体"/>
                <w:szCs w:val="21"/>
              </w:rPr>
              <w:t>(3)</w:t>
            </w:r>
            <w:r>
              <w:rPr>
                <w:rFonts w:hint="eastAsia" w:ascii="宋体" w:hAnsi="宋体"/>
                <w:szCs w:val="21"/>
              </w:rPr>
              <w:t>具有良好的医德医风和全心全意为民众健康服务的思想。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主要教学内容</w:t>
            </w:r>
          </w:p>
        </w:tc>
        <w:tc>
          <w:tcPr>
            <w:tcW w:w="6520" w:type="dxa"/>
          </w:tcPr>
          <w:p>
            <w:pPr>
              <w:spacing w:line="360" w:lineRule="auto"/>
              <w:outlineLvl w:val="1"/>
              <w:rPr>
                <w:rFonts w:ascii="宋体" w:hAnsi="宋体"/>
                <w:szCs w:val="21"/>
              </w:rPr>
            </w:pPr>
            <w:r>
              <w:rPr>
                <w:rFonts w:hint="eastAsia" w:ascii="宋体" w:hAnsi="宋体"/>
                <w:szCs w:val="21"/>
              </w:rPr>
              <w:t>内科常见病、多发病病因、发病机理、临床表现、辅助检查、诊断、鉴别和防治；急危重症的临床表现、初步处理和转院要求；健康宣教和康复锻炼；常用基本诊疗技术操作。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教学要求</w:t>
            </w:r>
          </w:p>
        </w:tc>
        <w:tc>
          <w:tcPr>
            <w:tcW w:w="6520" w:type="dxa"/>
          </w:tcPr>
          <w:p>
            <w:pPr>
              <w:spacing w:line="360" w:lineRule="auto"/>
              <w:outlineLvl w:val="1"/>
              <w:rPr>
                <w:rFonts w:ascii="宋体" w:hAnsi="宋体"/>
                <w:szCs w:val="21"/>
              </w:rPr>
            </w:pPr>
            <w:r>
              <w:rPr>
                <w:rFonts w:hint="eastAsia" w:ascii="宋体" w:hAnsi="宋体"/>
                <w:szCs w:val="21"/>
              </w:rPr>
              <w:t>通过多媒体、数字化教学、案例教学、启发教学、探究教学、任务驱动教学、模拟病房、角色扮演情景教学、仿真实训、临床见习实习等，线上线下混合教学，使学生对内科疾病的临床特点、诊治、预防保健等有较全面的认识，培养诊治内科疾病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360" w:lineRule="auto"/>
              <w:jc w:val="center"/>
              <w:outlineLvl w:val="1"/>
              <w:rPr>
                <w:rFonts w:ascii="宋体" w:hAnsi="宋体"/>
                <w:szCs w:val="21"/>
              </w:rPr>
            </w:pPr>
            <w:r>
              <w:rPr>
                <w:rFonts w:hint="eastAsia" w:ascii="宋体" w:hAnsi="宋体"/>
                <w:szCs w:val="21"/>
              </w:rPr>
              <w:t>4</w:t>
            </w:r>
          </w:p>
        </w:tc>
        <w:tc>
          <w:tcPr>
            <w:tcW w:w="1134" w:type="dxa"/>
            <w:vMerge w:val="restart"/>
            <w:vAlign w:val="center"/>
          </w:tcPr>
          <w:p>
            <w:pPr>
              <w:spacing w:line="360" w:lineRule="auto"/>
              <w:jc w:val="center"/>
              <w:rPr>
                <w:rFonts w:ascii="宋体" w:hAnsi="宋体"/>
                <w:szCs w:val="21"/>
              </w:rPr>
            </w:pPr>
            <w:r>
              <w:rPr>
                <w:rFonts w:hint="eastAsia" w:ascii="宋体" w:hAnsi="宋体"/>
                <w:szCs w:val="21"/>
              </w:rPr>
              <w:t>外科学</w:t>
            </w:r>
          </w:p>
        </w:tc>
        <w:tc>
          <w:tcPr>
            <w:tcW w:w="1560" w:type="dxa"/>
            <w:vAlign w:val="center"/>
          </w:tcPr>
          <w:p>
            <w:pPr>
              <w:spacing w:line="360" w:lineRule="auto"/>
              <w:jc w:val="center"/>
              <w:outlineLvl w:val="1"/>
              <w:rPr>
                <w:rFonts w:ascii="宋体" w:hAnsi="宋体"/>
                <w:szCs w:val="21"/>
              </w:rPr>
            </w:pPr>
            <w:r>
              <w:rPr>
                <w:rFonts w:hint="eastAsia" w:ascii="宋体" w:hAnsi="宋体"/>
                <w:szCs w:val="21"/>
              </w:rPr>
              <w:t>课程目标</w:t>
            </w:r>
          </w:p>
        </w:tc>
        <w:tc>
          <w:tcPr>
            <w:tcW w:w="6520" w:type="dxa"/>
          </w:tcPr>
          <w:p>
            <w:pPr>
              <w:spacing w:line="360" w:lineRule="auto"/>
              <w:outlineLvl w:val="1"/>
              <w:rPr>
                <w:rFonts w:ascii="宋体" w:hAnsi="宋体"/>
                <w:szCs w:val="21"/>
              </w:rPr>
            </w:pPr>
            <w:r>
              <w:rPr>
                <w:rFonts w:ascii="宋体" w:hAnsi="宋体"/>
                <w:szCs w:val="21"/>
              </w:rPr>
              <w:t>(1)</w:t>
            </w:r>
            <w:r>
              <w:rPr>
                <w:rFonts w:hint="eastAsia" w:ascii="宋体" w:hAnsi="宋体"/>
                <w:szCs w:val="21"/>
              </w:rPr>
              <w:t>掌握外科常见病、多发病的临床表现、诊断要点、预防、治疗措施以及急危重症的急救原则和正确转诊；掌握外科临床基本操作技术。</w:t>
            </w:r>
            <w:r>
              <w:rPr>
                <w:rFonts w:ascii="宋体" w:hAnsi="宋体"/>
                <w:szCs w:val="21"/>
              </w:rPr>
              <w:t>(2)</w:t>
            </w:r>
            <w:r>
              <w:rPr>
                <w:rFonts w:hint="eastAsia" w:ascii="宋体" w:hAnsi="宋体"/>
                <w:szCs w:val="21"/>
              </w:rPr>
              <w:t xml:space="preserve"> 能熟练进行外科日常诊疗工作，具有诊断治疗外科疾病和预防保健指导的能力，具有消毒、铺巾、清创、缝合、结扎、包扎、止血、换药、拆线等外科技术操作能力，具有对外科的危急重症初步判断、处理和正确转诊能力。</w:t>
            </w:r>
            <w:r>
              <w:rPr>
                <w:rFonts w:ascii="宋体" w:hAnsi="宋体"/>
                <w:szCs w:val="21"/>
              </w:rPr>
              <w:t>(3)</w:t>
            </w:r>
            <w:r>
              <w:rPr>
                <w:rFonts w:hint="eastAsia" w:ascii="宋体" w:hAnsi="宋体"/>
                <w:szCs w:val="21"/>
              </w:rPr>
              <w:t xml:space="preserve"> 具有全心全意为民众健康服务的思想，救死扶伤。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主要教学内容</w:t>
            </w:r>
          </w:p>
        </w:tc>
        <w:tc>
          <w:tcPr>
            <w:tcW w:w="6520" w:type="dxa"/>
          </w:tcPr>
          <w:p>
            <w:pPr>
              <w:spacing w:line="360" w:lineRule="auto"/>
              <w:outlineLvl w:val="1"/>
              <w:rPr>
                <w:rFonts w:ascii="宋体" w:hAnsi="宋体"/>
                <w:szCs w:val="21"/>
              </w:rPr>
            </w:pPr>
            <w:r>
              <w:rPr>
                <w:rFonts w:hint="eastAsia" w:ascii="宋体" w:hAnsi="宋体"/>
                <w:szCs w:val="21"/>
              </w:rPr>
              <w:t>外科常见病的病因、发病机理、临床表现、诊断、防治原则；外科急危重症的临床特点、初步判断、急救处理和转院；外伤、手术后病人的心理疏导、并发症处理、功能锻炼和康复技术；外科基本操作技术。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教学要求</w:t>
            </w:r>
          </w:p>
        </w:tc>
        <w:tc>
          <w:tcPr>
            <w:tcW w:w="6520" w:type="dxa"/>
          </w:tcPr>
          <w:p>
            <w:pPr>
              <w:spacing w:line="360" w:lineRule="auto"/>
              <w:outlineLvl w:val="1"/>
              <w:rPr>
                <w:rFonts w:ascii="宋体" w:hAnsi="宋体"/>
                <w:szCs w:val="21"/>
              </w:rPr>
            </w:pPr>
            <w:r>
              <w:rPr>
                <w:rFonts w:hint="eastAsia" w:ascii="宋体" w:hAnsi="宋体"/>
                <w:szCs w:val="21"/>
              </w:rPr>
              <w:t>通过多媒体、数字化教学、案例教学、启发教学、探究教学、任务驱动教学、模拟病房、角色扮演情景教学、基本技能操作实训、仿真实训、临床见习实习等，线上线下混合教学，使学生对外科疾病的临床特点、诊治、预防保健等有较全面的认识，培养诊治外科疾病的能力，培养外科基本操作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360" w:lineRule="auto"/>
              <w:jc w:val="center"/>
              <w:outlineLvl w:val="1"/>
              <w:rPr>
                <w:rFonts w:ascii="宋体" w:hAnsi="宋体"/>
                <w:szCs w:val="21"/>
              </w:rPr>
            </w:pPr>
            <w:r>
              <w:rPr>
                <w:rFonts w:hint="eastAsia" w:ascii="宋体" w:hAnsi="宋体"/>
                <w:szCs w:val="21"/>
              </w:rPr>
              <w:t>5</w:t>
            </w:r>
          </w:p>
        </w:tc>
        <w:tc>
          <w:tcPr>
            <w:tcW w:w="1134" w:type="dxa"/>
            <w:vMerge w:val="restart"/>
            <w:vAlign w:val="center"/>
          </w:tcPr>
          <w:p>
            <w:pPr>
              <w:spacing w:line="360" w:lineRule="auto"/>
              <w:jc w:val="center"/>
              <w:rPr>
                <w:rFonts w:ascii="宋体" w:hAnsi="宋体"/>
                <w:b/>
                <w:bCs/>
                <w:szCs w:val="21"/>
              </w:rPr>
            </w:pPr>
            <w:r>
              <w:rPr>
                <w:rFonts w:hint="eastAsia" w:ascii="宋体" w:hAnsi="宋体"/>
                <w:szCs w:val="21"/>
              </w:rPr>
              <w:t>妇产科学</w:t>
            </w:r>
          </w:p>
        </w:tc>
        <w:tc>
          <w:tcPr>
            <w:tcW w:w="1560" w:type="dxa"/>
            <w:vAlign w:val="center"/>
          </w:tcPr>
          <w:p>
            <w:pPr>
              <w:spacing w:line="360" w:lineRule="auto"/>
              <w:jc w:val="center"/>
              <w:outlineLvl w:val="1"/>
              <w:rPr>
                <w:rFonts w:ascii="宋体" w:hAnsi="宋体"/>
                <w:szCs w:val="21"/>
              </w:rPr>
            </w:pPr>
            <w:r>
              <w:rPr>
                <w:rFonts w:hint="eastAsia" w:ascii="宋体" w:hAnsi="宋体"/>
                <w:szCs w:val="21"/>
              </w:rPr>
              <w:t>课程目标</w:t>
            </w:r>
          </w:p>
        </w:tc>
        <w:tc>
          <w:tcPr>
            <w:tcW w:w="6520" w:type="dxa"/>
          </w:tcPr>
          <w:p>
            <w:pPr>
              <w:spacing w:line="360" w:lineRule="auto"/>
              <w:outlineLvl w:val="1"/>
              <w:rPr>
                <w:rFonts w:ascii="宋体" w:hAnsi="宋体"/>
                <w:szCs w:val="21"/>
              </w:rPr>
            </w:pPr>
            <w:r>
              <w:rPr>
                <w:rFonts w:ascii="宋体" w:hAnsi="宋体"/>
                <w:szCs w:val="21"/>
              </w:rPr>
              <w:t>(1)</w:t>
            </w:r>
            <w:r>
              <w:rPr>
                <w:rFonts w:hint="eastAsia" w:ascii="宋体" w:hAnsi="宋体"/>
                <w:szCs w:val="21"/>
              </w:rPr>
              <w:t>掌握女性生殖解剖生理特点；掌握妊娠诊断、孕期保健、分娩处理措施；掌握妇产科常见病临床表现、诊断、防治及急危重症的急救原则和转诊。</w:t>
            </w:r>
            <w:r>
              <w:rPr>
                <w:rFonts w:ascii="宋体" w:hAnsi="宋体"/>
                <w:szCs w:val="21"/>
              </w:rPr>
              <w:t>(2)</w:t>
            </w:r>
            <w:r>
              <w:rPr>
                <w:rFonts w:hint="eastAsia" w:ascii="宋体" w:hAnsi="宋体"/>
                <w:szCs w:val="21"/>
              </w:rPr>
              <w:t>能熟练进行产前检查、孕期保健指导、顺产接生。</w:t>
            </w:r>
            <w:r>
              <w:rPr>
                <w:rFonts w:ascii="宋体" w:hAnsi="宋体"/>
                <w:szCs w:val="21"/>
              </w:rPr>
              <w:t>(3)</w:t>
            </w:r>
            <w:r>
              <w:rPr>
                <w:rFonts w:hint="eastAsia" w:ascii="宋体" w:hAnsi="宋体"/>
                <w:szCs w:val="21"/>
              </w:rPr>
              <w:t>具有对妇产科疾病诊治和预防保健指导能力；具有对危急重症初步处理和正确转诊能力；能进行计划生育宣教。</w:t>
            </w:r>
            <w:r>
              <w:rPr>
                <w:rFonts w:ascii="宋体" w:hAnsi="宋体"/>
                <w:szCs w:val="21"/>
              </w:rPr>
              <w:t>(4)</w:t>
            </w:r>
            <w:r>
              <w:rPr>
                <w:rFonts w:hint="eastAsia" w:ascii="宋体" w:hAnsi="宋体"/>
                <w:szCs w:val="21"/>
              </w:rPr>
              <w:t>建立和谐医患关系，尊重病人，保护病人隐私。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主要教学内容</w:t>
            </w:r>
          </w:p>
        </w:tc>
        <w:tc>
          <w:tcPr>
            <w:tcW w:w="6520" w:type="dxa"/>
          </w:tcPr>
          <w:p>
            <w:pPr>
              <w:spacing w:line="360" w:lineRule="auto"/>
              <w:outlineLvl w:val="1"/>
              <w:rPr>
                <w:rFonts w:ascii="宋体" w:hAnsi="宋体"/>
                <w:szCs w:val="21"/>
              </w:rPr>
            </w:pPr>
            <w:r>
              <w:rPr>
                <w:rFonts w:hint="eastAsia" w:ascii="宋体" w:hAnsi="宋体"/>
                <w:szCs w:val="21"/>
              </w:rPr>
              <w:t>女性生殖系统解剖生理特点；正常妊娠、分娩过程及常见并发症、合并症的诊断、防治原则；妇产科常见病的病因、发病机理、临床表现、诊治、预防；妇产科病史采集、专科检查和病历收发室要求；计划生育宣教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教学要求</w:t>
            </w:r>
          </w:p>
        </w:tc>
        <w:tc>
          <w:tcPr>
            <w:tcW w:w="6520" w:type="dxa"/>
          </w:tcPr>
          <w:p>
            <w:pPr>
              <w:spacing w:line="360" w:lineRule="auto"/>
              <w:outlineLvl w:val="1"/>
              <w:rPr>
                <w:rFonts w:ascii="宋体" w:hAnsi="宋体"/>
                <w:szCs w:val="21"/>
              </w:rPr>
            </w:pPr>
            <w:r>
              <w:rPr>
                <w:rFonts w:hint="eastAsia" w:ascii="宋体" w:hAnsi="宋体"/>
                <w:szCs w:val="21"/>
              </w:rPr>
              <w:t>通过多媒体、数字化教学、案例教学、启发教学、探究教学、任务驱动教学、模拟病房、角色扮演情景教学、基本技能操作实训、仿真实训、临床见习实习等，线上线下混合教学，使学生对正常产科、异常产科和妇科疾病的临床特点、诊治、预防保健等有较全面的认识，培养疾病诊治能力，培养妇产科基本操作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360" w:lineRule="auto"/>
              <w:jc w:val="center"/>
              <w:outlineLvl w:val="1"/>
              <w:rPr>
                <w:rFonts w:ascii="宋体" w:hAnsi="宋体"/>
                <w:szCs w:val="21"/>
              </w:rPr>
            </w:pPr>
            <w:r>
              <w:rPr>
                <w:rFonts w:hint="eastAsia" w:ascii="宋体" w:hAnsi="宋体"/>
                <w:szCs w:val="21"/>
              </w:rPr>
              <w:t>6</w:t>
            </w:r>
          </w:p>
        </w:tc>
        <w:tc>
          <w:tcPr>
            <w:tcW w:w="1134" w:type="dxa"/>
            <w:vMerge w:val="restart"/>
            <w:vAlign w:val="center"/>
          </w:tcPr>
          <w:p>
            <w:pPr>
              <w:spacing w:line="360" w:lineRule="auto"/>
              <w:jc w:val="center"/>
              <w:rPr>
                <w:rFonts w:ascii="宋体" w:hAnsi="宋体"/>
                <w:b/>
                <w:bCs/>
                <w:szCs w:val="21"/>
              </w:rPr>
            </w:pPr>
            <w:r>
              <w:rPr>
                <w:rFonts w:hint="eastAsia" w:ascii="宋体" w:hAnsi="宋体"/>
                <w:szCs w:val="21"/>
              </w:rPr>
              <w:t>儿科学</w:t>
            </w:r>
          </w:p>
        </w:tc>
        <w:tc>
          <w:tcPr>
            <w:tcW w:w="1560" w:type="dxa"/>
            <w:vAlign w:val="center"/>
          </w:tcPr>
          <w:p>
            <w:pPr>
              <w:spacing w:line="360" w:lineRule="auto"/>
              <w:jc w:val="center"/>
              <w:outlineLvl w:val="1"/>
              <w:rPr>
                <w:rFonts w:ascii="宋体" w:hAnsi="宋体"/>
                <w:szCs w:val="21"/>
              </w:rPr>
            </w:pPr>
            <w:r>
              <w:rPr>
                <w:rFonts w:hint="eastAsia" w:ascii="宋体" w:hAnsi="宋体"/>
                <w:szCs w:val="21"/>
              </w:rPr>
              <w:t>课程目标</w:t>
            </w:r>
          </w:p>
        </w:tc>
        <w:tc>
          <w:tcPr>
            <w:tcW w:w="6520" w:type="dxa"/>
          </w:tcPr>
          <w:p>
            <w:pPr>
              <w:spacing w:line="360" w:lineRule="auto"/>
              <w:outlineLvl w:val="1"/>
              <w:rPr>
                <w:rFonts w:ascii="宋体" w:hAnsi="宋体"/>
                <w:szCs w:val="21"/>
              </w:rPr>
            </w:pPr>
            <w:r>
              <w:rPr>
                <w:rFonts w:ascii="宋体" w:hAnsi="宋体"/>
                <w:szCs w:val="21"/>
              </w:rPr>
              <w:t>(1)</w:t>
            </w:r>
            <w:r>
              <w:rPr>
                <w:rFonts w:hint="eastAsia" w:ascii="宋体" w:hAnsi="宋体"/>
                <w:szCs w:val="21"/>
              </w:rPr>
              <w:t>掌握儿童生长发育特点、衡量指标和评价；掌握儿科常见病病因、临床表现、诊疗和预防。</w:t>
            </w:r>
            <w:r>
              <w:rPr>
                <w:rFonts w:ascii="宋体" w:hAnsi="宋体"/>
                <w:szCs w:val="21"/>
              </w:rPr>
              <w:t>(2)</w:t>
            </w:r>
            <w:r>
              <w:rPr>
                <w:rFonts w:hint="eastAsia" w:ascii="宋体" w:hAnsi="宋体"/>
                <w:szCs w:val="21"/>
              </w:rPr>
              <w:t>具有开展小儿生长发育宣教、保健指导和健康管理能力。</w:t>
            </w:r>
            <w:r>
              <w:rPr>
                <w:rFonts w:ascii="宋体" w:hAnsi="宋体"/>
                <w:szCs w:val="21"/>
              </w:rPr>
              <w:t>(3)</w:t>
            </w:r>
            <w:r>
              <w:rPr>
                <w:rFonts w:hint="eastAsia" w:ascii="宋体" w:hAnsi="宋体"/>
                <w:szCs w:val="21"/>
              </w:rPr>
              <w:t>具有对儿科常见病诊治和预防保健指导能力；具有对危急重症初步处理和正确转诊能力。</w:t>
            </w:r>
            <w:r>
              <w:rPr>
                <w:rFonts w:ascii="宋体" w:hAnsi="宋体"/>
                <w:szCs w:val="21"/>
              </w:rPr>
              <w:t>(4)</w:t>
            </w:r>
            <w:r>
              <w:rPr>
                <w:rFonts w:hint="eastAsia" w:ascii="宋体" w:hAnsi="宋体"/>
                <w:szCs w:val="21"/>
              </w:rPr>
              <w:t>关爱儿童心身健康。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主要教学内容</w:t>
            </w:r>
          </w:p>
        </w:tc>
        <w:tc>
          <w:tcPr>
            <w:tcW w:w="6520" w:type="dxa"/>
          </w:tcPr>
          <w:p>
            <w:pPr>
              <w:spacing w:line="360" w:lineRule="auto"/>
              <w:outlineLvl w:val="1"/>
              <w:rPr>
                <w:rFonts w:ascii="宋体" w:hAnsi="宋体"/>
                <w:szCs w:val="21"/>
              </w:rPr>
            </w:pPr>
            <w:r>
              <w:rPr>
                <w:rFonts w:hint="eastAsia" w:ascii="宋体" w:hAnsi="宋体"/>
                <w:szCs w:val="21"/>
              </w:rPr>
              <w:t>儿童生长发育的基本知识、衡量指标和生长发育评价；儿科常见病病因、发病机理、临床表现、诊治和预防；儿科病史采集、体格检查、辅助检查和诊疗操作技术；儿童保健。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教学要求</w:t>
            </w:r>
          </w:p>
        </w:tc>
        <w:tc>
          <w:tcPr>
            <w:tcW w:w="6520" w:type="dxa"/>
          </w:tcPr>
          <w:p>
            <w:pPr>
              <w:spacing w:line="360" w:lineRule="auto"/>
              <w:outlineLvl w:val="1"/>
              <w:rPr>
                <w:rFonts w:ascii="宋体" w:hAnsi="宋体"/>
                <w:szCs w:val="21"/>
              </w:rPr>
            </w:pPr>
            <w:r>
              <w:rPr>
                <w:rFonts w:hint="eastAsia" w:ascii="宋体" w:hAnsi="宋体"/>
                <w:szCs w:val="21"/>
              </w:rPr>
              <w:t>通过多媒体、数字化教学、案例教学、启发教学、探究教学、任务驱动教学、模拟病房、角色扮演情景教学、技能操作实训、临床见习实习等，线上线下混合教学，使学生较全面的认识儿童生长发育及儿科疾病临床特点、诊治、预防保健等，培养保健指导、健康管理能力，培养疾病诊治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360" w:lineRule="auto"/>
              <w:jc w:val="center"/>
              <w:outlineLvl w:val="1"/>
              <w:rPr>
                <w:rFonts w:ascii="宋体" w:hAnsi="宋体"/>
                <w:szCs w:val="21"/>
              </w:rPr>
            </w:pPr>
            <w:r>
              <w:rPr>
                <w:rFonts w:hint="eastAsia" w:ascii="宋体" w:hAnsi="宋体"/>
                <w:szCs w:val="21"/>
              </w:rPr>
              <w:t>7</w:t>
            </w:r>
          </w:p>
        </w:tc>
        <w:tc>
          <w:tcPr>
            <w:tcW w:w="1134" w:type="dxa"/>
            <w:vMerge w:val="restart"/>
            <w:vAlign w:val="center"/>
          </w:tcPr>
          <w:p>
            <w:pPr>
              <w:spacing w:line="360" w:lineRule="auto"/>
              <w:jc w:val="center"/>
              <w:rPr>
                <w:rFonts w:ascii="宋体" w:hAnsi="宋体"/>
                <w:bCs/>
                <w:szCs w:val="21"/>
              </w:rPr>
            </w:pPr>
            <w:r>
              <w:rPr>
                <w:rFonts w:hint="eastAsia" w:ascii="宋体" w:hAnsi="宋体"/>
                <w:bCs/>
                <w:szCs w:val="21"/>
              </w:rPr>
              <w:t>急</w:t>
            </w:r>
            <w:r>
              <w:rPr>
                <w:rFonts w:hint="eastAsia" w:ascii="宋体" w:hAnsi="宋体"/>
                <w:szCs w:val="21"/>
              </w:rPr>
              <w:t>救</w:t>
            </w:r>
            <w:r>
              <w:rPr>
                <w:rFonts w:hint="eastAsia" w:ascii="宋体" w:hAnsi="宋体"/>
                <w:bCs/>
                <w:szCs w:val="21"/>
              </w:rPr>
              <w:t>医学</w:t>
            </w:r>
          </w:p>
        </w:tc>
        <w:tc>
          <w:tcPr>
            <w:tcW w:w="1560" w:type="dxa"/>
            <w:vAlign w:val="center"/>
          </w:tcPr>
          <w:p>
            <w:pPr>
              <w:spacing w:line="360" w:lineRule="auto"/>
              <w:jc w:val="center"/>
              <w:outlineLvl w:val="1"/>
              <w:rPr>
                <w:rFonts w:ascii="宋体" w:hAnsi="宋体"/>
                <w:szCs w:val="21"/>
              </w:rPr>
            </w:pPr>
            <w:r>
              <w:rPr>
                <w:rFonts w:hint="eastAsia" w:ascii="宋体" w:hAnsi="宋体"/>
                <w:szCs w:val="21"/>
              </w:rPr>
              <w:t>课程目标</w:t>
            </w:r>
          </w:p>
        </w:tc>
        <w:tc>
          <w:tcPr>
            <w:tcW w:w="6520" w:type="dxa"/>
          </w:tcPr>
          <w:p>
            <w:pPr>
              <w:spacing w:line="360" w:lineRule="auto"/>
              <w:outlineLvl w:val="1"/>
              <w:rPr>
                <w:rFonts w:ascii="宋体" w:hAnsi="宋体"/>
                <w:szCs w:val="21"/>
              </w:rPr>
            </w:pPr>
            <w:r>
              <w:rPr>
                <w:rFonts w:ascii="宋体" w:hAnsi="宋体"/>
                <w:szCs w:val="21"/>
              </w:rPr>
              <w:t>(1)</w:t>
            </w:r>
            <w:r>
              <w:rPr>
                <w:rFonts w:hint="eastAsia" w:ascii="宋体" w:hAnsi="宋体"/>
                <w:szCs w:val="21"/>
              </w:rPr>
              <w:t>掌握急危重症的诊断标准、现场急救措施、注意事项及转诊原则。</w:t>
            </w:r>
            <w:r>
              <w:rPr>
                <w:rFonts w:ascii="宋体" w:hAnsi="宋体"/>
                <w:szCs w:val="21"/>
              </w:rPr>
              <w:t>(2)</w:t>
            </w:r>
            <w:r>
              <w:rPr>
                <w:rFonts w:hint="eastAsia" w:ascii="宋体" w:hAnsi="宋体"/>
                <w:szCs w:val="21"/>
              </w:rPr>
              <w:t>具有对常见急危重症急救的技术能力和正确转诊能力。</w:t>
            </w:r>
            <w:r>
              <w:rPr>
                <w:rFonts w:ascii="宋体" w:hAnsi="宋体"/>
                <w:szCs w:val="21"/>
              </w:rPr>
              <w:t>(3)</w:t>
            </w:r>
            <w:r>
              <w:rPr>
                <w:rFonts w:hint="eastAsia" w:ascii="宋体" w:hAnsi="宋体"/>
                <w:szCs w:val="21"/>
              </w:rPr>
              <w:t>具有良好的应急心理素质和敏锐的观察能力，争分夺秒，救死扶伤。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主要教学内容</w:t>
            </w:r>
          </w:p>
        </w:tc>
        <w:tc>
          <w:tcPr>
            <w:tcW w:w="6520" w:type="dxa"/>
          </w:tcPr>
          <w:p>
            <w:pPr>
              <w:spacing w:line="360" w:lineRule="auto"/>
              <w:outlineLvl w:val="1"/>
              <w:rPr>
                <w:rFonts w:ascii="宋体" w:hAnsi="宋体"/>
                <w:szCs w:val="21"/>
              </w:rPr>
            </w:pPr>
            <w:r>
              <w:rPr>
                <w:rFonts w:hint="eastAsia" w:ascii="宋体" w:hAnsi="宋体"/>
                <w:szCs w:val="21"/>
              </w:rPr>
              <w:t>急诊医学范畴；急救原则、急救措施、注意事项及急救后转诊；心搏骤停诊断标准与心肺脑复苏步骤；急性中毒、休克、心血管急症的临床表现、诊断和急救。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教学要求</w:t>
            </w:r>
          </w:p>
        </w:tc>
        <w:tc>
          <w:tcPr>
            <w:tcW w:w="6520" w:type="dxa"/>
          </w:tcPr>
          <w:p>
            <w:pPr>
              <w:spacing w:line="360" w:lineRule="auto"/>
              <w:outlineLvl w:val="1"/>
              <w:rPr>
                <w:rFonts w:ascii="宋体" w:hAnsi="宋体"/>
                <w:szCs w:val="21"/>
              </w:rPr>
            </w:pPr>
            <w:r>
              <w:rPr>
                <w:rFonts w:hint="eastAsia" w:ascii="宋体" w:hAnsi="宋体"/>
                <w:szCs w:val="21"/>
              </w:rPr>
              <w:t>通过多媒体、数字化教学、案例教学、启发教学、模拟病房、角色扮演情景教学、技能操作实训等，线上线下混合教学，培养学生急危重症急救的技术能力和正确转诊的能力，培养应急心理素质。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360" w:lineRule="auto"/>
              <w:jc w:val="center"/>
              <w:outlineLvl w:val="1"/>
              <w:rPr>
                <w:rFonts w:ascii="宋体" w:hAnsi="宋体"/>
                <w:szCs w:val="21"/>
              </w:rPr>
            </w:pPr>
            <w:r>
              <w:rPr>
                <w:rFonts w:hint="eastAsia" w:ascii="宋体" w:hAnsi="宋体"/>
                <w:szCs w:val="21"/>
              </w:rPr>
              <w:t>8</w:t>
            </w:r>
          </w:p>
        </w:tc>
        <w:tc>
          <w:tcPr>
            <w:tcW w:w="1134" w:type="dxa"/>
            <w:vMerge w:val="restart"/>
            <w:vAlign w:val="center"/>
          </w:tcPr>
          <w:p>
            <w:pPr>
              <w:spacing w:line="360" w:lineRule="auto"/>
              <w:jc w:val="center"/>
              <w:rPr>
                <w:rFonts w:ascii="宋体" w:hAnsi="宋体"/>
                <w:szCs w:val="21"/>
              </w:rPr>
            </w:pPr>
            <w:r>
              <w:rPr>
                <w:rFonts w:hint="eastAsia" w:ascii="宋体" w:hAnsi="宋体"/>
                <w:szCs w:val="21"/>
              </w:rPr>
              <w:t>基本公共卫生服务实务</w:t>
            </w:r>
          </w:p>
        </w:tc>
        <w:tc>
          <w:tcPr>
            <w:tcW w:w="1560" w:type="dxa"/>
            <w:vAlign w:val="center"/>
          </w:tcPr>
          <w:p>
            <w:pPr>
              <w:spacing w:line="360" w:lineRule="auto"/>
              <w:jc w:val="center"/>
              <w:outlineLvl w:val="1"/>
              <w:rPr>
                <w:rFonts w:ascii="宋体" w:hAnsi="宋体"/>
                <w:szCs w:val="21"/>
              </w:rPr>
            </w:pPr>
            <w:r>
              <w:rPr>
                <w:rFonts w:hint="eastAsia" w:ascii="宋体" w:hAnsi="宋体"/>
                <w:szCs w:val="21"/>
              </w:rPr>
              <w:t>课程目标</w:t>
            </w:r>
          </w:p>
        </w:tc>
        <w:tc>
          <w:tcPr>
            <w:tcW w:w="6520" w:type="dxa"/>
          </w:tcPr>
          <w:p>
            <w:pPr>
              <w:spacing w:line="360" w:lineRule="auto"/>
              <w:outlineLvl w:val="1"/>
              <w:rPr>
                <w:rFonts w:ascii="宋体" w:hAnsi="宋体"/>
                <w:szCs w:val="21"/>
              </w:rPr>
            </w:pPr>
            <w:r>
              <w:rPr>
                <w:rFonts w:ascii="宋体" w:hAnsi="宋体"/>
                <w:szCs w:val="21"/>
              </w:rPr>
              <w:t>(1)</w:t>
            </w:r>
            <w:r>
              <w:rPr>
                <w:rFonts w:hint="eastAsia" w:ascii="宋体" w:hAnsi="宋体"/>
                <w:szCs w:val="21"/>
              </w:rPr>
              <w:t>掌握居民健康建档、管理、教育、预防接种知识；掌握0～6岁儿童、孕产妇、老年人、慢性病等人群的健康管理；掌握传染病及突发公共卫生事件的报告和处理。</w:t>
            </w:r>
            <w:r>
              <w:rPr>
                <w:rFonts w:ascii="宋体" w:hAnsi="宋体"/>
                <w:szCs w:val="21"/>
              </w:rPr>
              <w:t>(2)</w:t>
            </w:r>
            <w:r>
              <w:rPr>
                <w:rFonts w:hint="eastAsia" w:ascii="宋体" w:hAnsi="宋体"/>
                <w:szCs w:val="21"/>
              </w:rPr>
              <w:t>能进行健康建档和管理。</w:t>
            </w:r>
            <w:r>
              <w:rPr>
                <w:rFonts w:ascii="宋体" w:hAnsi="宋体"/>
                <w:szCs w:val="21"/>
              </w:rPr>
              <w:t>(3)</w:t>
            </w:r>
            <w:r>
              <w:rPr>
                <w:rFonts w:hint="eastAsia" w:ascii="宋体" w:hAnsi="宋体"/>
                <w:szCs w:val="21"/>
              </w:rPr>
              <w:t>树立预防为主观念，具有社区健康建档、管理能力，具有卫生监督、计划生育服务能力，具有应对突发公共卫生事件能力。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主要教学内容</w:t>
            </w:r>
          </w:p>
        </w:tc>
        <w:tc>
          <w:tcPr>
            <w:tcW w:w="6520" w:type="dxa"/>
          </w:tcPr>
          <w:p>
            <w:pPr>
              <w:spacing w:line="360" w:lineRule="auto"/>
              <w:outlineLvl w:val="1"/>
              <w:rPr>
                <w:rFonts w:ascii="宋体" w:hAnsi="宋体"/>
                <w:szCs w:val="21"/>
              </w:rPr>
            </w:pPr>
            <w:r>
              <w:rPr>
                <w:rFonts w:hint="eastAsia" w:ascii="宋体" w:hAnsi="宋体"/>
                <w:szCs w:val="21"/>
              </w:rPr>
              <w:t>公共卫生服务知识；健康教育；预防接种；0～6岁儿童、孕产妇、老年人、慢性病等人群的健康建档、管理；传染病与突发公共卫生事件处置；卫生监督和计划生育等公共卫生服务内容和规范。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教学要求</w:t>
            </w:r>
          </w:p>
        </w:tc>
        <w:tc>
          <w:tcPr>
            <w:tcW w:w="6520" w:type="dxa"/>
          </w:tcPr>
          <w:p>
            <w:pPr>
              <w:spacing w:line="360" w:lineRule="auto"/>
              <w:outlineLvl w:val="1"/>
              <w:rPr>
                <w:rFonts w:ascii="宋体" w:hAnsi="宋体"/>
                <w:szCs w:val="21"/>
              </w:rPr>
            </w:pPr>
            <w:r>
              <w:rPr>
                <w:rFonts w:hint="eastAsia" w:ascii="宋体" w:hAnsi="宋体"/>
                <w:szCs w:val="21"/>
              </w:rPr>
              <w:t>通过多媒体、数字化教学、实例教学、启发教学、任务驱动教学、社区居民健康建档实践活动等，线上线下混合教学，培养学生良好的公共卫生服务意识、较强的责任感和爱岗敬业的职业素质，培养学生健康管理、健康教育、突发公共卫生事件处置等能力。</w:t>
            </w:r>
          </w:p>
        </w:tc>
      </w:tr>
    </w:tbl>
    <w:p>
      <w:pPr>
        <w:spacing w:line="360" w:lineRule="auto"/>
        <w:ind w:firstLine="482" w:firstLineChars="200"/>
        <w:outlineLvl w:val="1"/>
        <w:rPr>
          <w:rFonts w:ascii="宋体" w:hAnsi="宋体"/>
          <w:b/>
          <w:sz w:val="24"/>
          <w:szCs w:val="24"/>
        </w:rPr>
      </w:pPr>
      <w:r>
        <w:rPr>
          <w:rFonts w:hint="eastAsia" w:ascii="宋体" w:hAnsi="宋体"/>
          <w:b/>
          <w:sz w:val="24"/>
          <w:szCs w:val="24"/>
        </w:rPr>
        <w:t>（四）专业拓展课程</w:t>
      </w:r>
    </w:p>
    <w:p>
      <w:pPr>
        <w:spacing w:line="360" w:lineRule="auto"/>
        <w:ind w:firstLine="480" w:firstLineChars="200"/>
        <w:outlineLvl w:val="1"/>
        <w:rPr>
          <w:rFonts w:ascii="宋体" w:hAnsi="宋体"/>
          <w:sz w:val="24"/>
          <w:szCs w:val="24"/>
        </w:rPr>
      </w:pPr>
      <w:r>
        <w:rPr>
          <w:rFonts w:hint="eastAsia" w:ascii="宋体" w:hAnsi="宋体"/>
          <w:sz w:val="24"/>
          <w:szCs w:val="24"/>
        </w:rPr>
        <w:t>专业拓展课程重在丰富学生对临床各领域的知识面，提高学生综合能力和综合素质。</w:t>
      </w:r>
    </w:p>
    <w:p>
      <w:pPr>
        <w:spacing w:line="360" w:lineRule="auto"/>
        <w:ind w:firstLine="480" w:firstLineChars="200"/>
        <w:outlineLvl w:val="1"/>
        <w:rPr>
          <w:rFonts w:ascii="宋体" w:hAnsi="宋体"/>
          <w:sz w:val="24"/>
          <w:szCs w:val="24"/>
        </w:rPr>
      </w:pPr>
      <w:r>
        <w:rPr>
          <w:rFonts w:hint="eastAsia" w:ascii="宋体" w:hAnsi="宋体"/>
          <w:sz w:val="24"/>
          <w:szCs w:val="24"/>
        </w:rPr>
        <w:t>课程设置包括中医基础与适宜技术、全科医学概论、传染病学、皮肤性病学、眼耳鼻咽喉口腔科学、神经精神病学、康复医学。课程目标、主要内容、教学要求详见表7。</w:t>
      </w:r>
    </w:p>
    <w:p>
      <w:pPr>
        <w:spacing w:line="360" w:lineRule="auto"/>
        <w:jc w:val="center"/>
        <w:outlineLvl w:val="1"/>
        <w:rPr>
          <w:rFonts w:ascii="宋体" w:hAnsi="宋体"/>
          <w:b/>
          <w:szCs w:val="21"/>
        </w:rPr>
      </w:pPr>
      <w:r>
        <w:rPr>
          <w:rFonts w:hint="eastAsia" w:ascii="宋体" w:hAnsi="宋体"/>
          <w:b/>
          <w:szCs w:val="21"/>
        </w:rPr>
        <w:t>表7  专业拓展课程目标、主要教学内容、教学要求</w:t>
      </w:r>
    </w:p>
    <w:tbl>
      <w:tblPr>
        <w:tblStyle w:val="1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4"/>
        <w:gridCol w:w="156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92D050"/>
            <w:vAlign w:val="center"/>
          </w:tcPr>
          <w:p>
            <w:pPr>
              <w:spacing w:line="360" w:lineRule="auto"/>
              <w:jc w:val="center"/>
              <w:outlineLvl w:val="1"/>
              <w:rPr>
                <w:rFonts w:ascii="宋体" w:hAnsi="宋体"/>
                <w:b/>
                <w:szCs w:val="21"/>
              </w:rPr>
            </w:pPr>
            <w:r>
              <w:rPr>
                <w:rFonts w:hint="eastAsia" w:ascii="宋体" w:hAnsi="宋体"/>
                <w:szCs w:val="21"/>
              </w:rPr>
              <w:t>序号</w:t>
            </w:r>
          </w:p>
        </w:tc>
        <w:tc>
          <w:tcPr>
            <w:tcW w:w="1134" w:type="dxa"/>
            <w:shd w:val="clear" w:color="auto" w:fill="92D050"/>
            <w:vAlign w:val="center"/>
          </w:tcPr>
          <w:p>
            <w:pPr>
              <w:spacing w:line="360" w:lineRule="auto"/>
              <w:jc w:val="center"/>
              <w:outlineLvl w:val="1"/>
              <w:rPr>
                <w:rFonts w:ascii="宋体" w:hAnsi="宋体"/>
                <w:b/>
                <w:szCs w:val="21"/>
              </w:rPr>
            </w:pPr>
            <w:r>
              <w:rPr>
                <w:rFonts w:hint="eastAsia" w:ascii="宋体" w:hAnsi="宋体"/>
                <w:szCs w:val="21"/>
              </w:rPr>
              <w:t>课程名称</w:t>
            </w:r>
          </w:p>
        </w:tc>
        <w:tc>
          <w:tcPr>
            <w:tcW w:w="1560" w:type="dxa"/>
            <w:shd w:val="clear" w:color="auto" w:fill="92D050"/>
            <w:vAlign w:val="center"/>
          </w:tcPr>
          <w:p>
            <w:pPr>
              <w:spacing w:line="360" w:lineRule="auto"/>
              <w:jc w:val="center"/>
              <w:outlineLvl w:val="1"/>
              <w:rPr>
                <w:rFonts w:ascii="宋体" w:hAnsi="宋体"/>
                <w:szCs w:val="21"/>
              </w:rPr>
            </w:pPr>
            <w:r>
              <w:rPr>
                <w:rFonts w:hint="eastAsia" w:ascii="宋体" w:hAnsi="宋体"/>
                <w:szCs w:val="21"/>
              </w:rPr>
              <w:t>项目</w:t>
            </w:r>
          </w:p>
        </w:tc>
        <w:tc>
          <w:tcPr>
            <w:tcW w:w="6520" w:type="dxa"/>
            <w:shd w:val="clear" w:color="auto" w:fill="92D050"/>
          </w:tcPr>
          <w:p>
            <w:pPr>
              <w:spacing w:line="360" w:lineRule="auto"/>
              <w:jc w:val="center"/>
              <w:outlineLvl w:val="1"/>
              <w:rPr>
                <w:rFonts w:ascii="宋体" w:hAnsi="宋体"/>
                <w:szCs w:val="21"/>
              </w:rPr>
            </w:pP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360" w:lineRule="auto"/>
              <w:jc w:val="center"/>
              <w:outlineLvl w:val="1"/>
              <w:rPr>
                <w:rFonts w:ascii="宋体" w:hAnsi="宋体"/>
                <w:szCs w:val="21"/>
              </w:rPr>
            </w:pPr>
            <w:r>
              <w:rPr>
                <w:rFonts w:hint="eastAsia" w:ascii="宋体" w:hAnsi="宋体"/>
                <w:szCs w:val="21"/>
              </w:rPr>
              <w:t>1</w:t>
            </w:r>
          </w:p>
        </w:tc>
        <w:tc>
          <w:tcPr>
            <w:tcW w:w="1134" w:type="dxa"/>
            <w:vMerge w:val="restart"/>
            <w:vAlign w:val="center"/>
          </w:tcPr>
          <w:p>
            <w:pPr>
              <w:spacing w:line="360" w:lineRule="auto"/>
              <w:jc w:val="center"/>
              <w:rPr>
                <w:rFonts w:ascii="宋体" w:hAnsi="宋体"/>
                <w:szCs w:val="21"/>
              </w:rPr>
            </w:pPr>
            <w:r>
              <w:rPr>
                <w:rFonts w:hint="eastAsia" w:ascii="宋体" w:hAnsi="宋体"/>
                <w:szCs w:val="21"/>
              </w:rPr>
              <w:t>中医基础与适宜技术</w:t>
            </w:r>
          </w:p>
        </w:tc>
        <w:tc>
          <w:tcPr>
            <w:tcW w:w="1560" w:type="dxa"/>
            <w:vAlign w:val="center"/>
          </w:tcPr>
          <w:p>
            <w:pPr>
              <w:spacing w:line="360" w:lineRule="auto"/>
              <w:jc w:val="center"/>
              <w:outlineLvl w:val="1"/>
              <w:rPr>
                <w:rFonts w:ascii="宋体" w:hAnsi="宋体"/>
                <w:szCs w:val="21"/>
              </w:rPr>
            </w:pPr>
            <w:r>
              <w:rPr>
                <w:rFonts w:hint="eastAsia" w:ascii="宋体" w:hAnsi="宋体"/>
                <w:szCs w:val="21"/>
              </w:rPr>
              <w:t>课程目标</w:t>
            </w:r>
          </w:p>
        </w:tc>
        <w:tc>
          <w:tcPr>
            <w:tcW w:w="6520" w:type="dxa"/>
          </w:tcPr>
          <w:p>
            <w:pPr>
              <w:spacing w:line="360" w:lineRule="auto"/>
              <w:outlineLvl w:val="1"/>
              <w:rPr>
                <w:rFonts w:ascii="宋体" w:hAnsi="宋体"/>
                <w:szCs w:val="21"/>
              </w:rPr>
            </w:pPr>
            <w:r>
              <w:rPr>
                <w:rFonts w:ascii="宋体" w:hAnsi="宋体"/>
                <w:szCs w:val="21"/>
              </w:rPr>
              <w:t>(1)</w:t>
            </w:r>
            <w:r>
              <w:rPr>
                <w:rFonts w:hint="eastAsia"/>
              </w:rPr>
              <w:t xml:space="preserve"> </w:t>
            </w:r>
            <w:r>
              <w:rPr>
                <w:rFonts w:hint="eastAsia" w:ascii="宋体" w:hAnsi="宋体"/>
                <w:szCs w:val="21"/>
              </w:rPr>
              <w:t>熟悉中医理论特点及精气学说、阴阳学说、五行学说的内容；熟悉五脏六腑功能及相互关系、经络组成与功能、疾病特点与中医诊和适宜技术。</w:t>
            </w:r>
            <w:r>
              <w:rPr>
                <w:rFonts w:ascii="宋体" w:hAnsi="宋体"/>
                <w:szCs w:val="21"/>
              </w:rPr>
              <w:t>(2)</w:t>
            </w:r>
            <w:r>
              <w:rPr>
                <w:rFonts w:hint="eastAsia" w:ascii="宋体" w:hAnsi="宋体"/>
                <w:szCs w:val="21"/>
              </w:rPr>
              <w:t>能从中医角度对疾病进行辩证论治。</w:t>
            </w:r>
            <w:r>
              <w:rPr>
                <w:rFonts w:ascii="宋体" w:hAnsi="宋体"/>
                <w:szCs w:val="21"/>
              </w:rPr>
              <w:t>(3)</w:t>
            </w:r>
            <w:r>
              <w:rPr>
                <w:rFonts w:hint="eastAsia" w:ascii="宋体" w:hAnsi="宋体"/>
                <w:szCs w:val="21"/>
              </w:rPr>
              <w:t>具有对祖国传统医学文化的认同感和自豪感。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主要教学内容</w:t>
            </w:r>
          </w:p>
        </w:tc>
        <w:tc>
          <w:tcPr>
            <w:tcW w:w="6520" w:type="dxa"/>
          </w:tcPr>
          <w:p>
            <w:pPr>
              <w:spacing w:line="360" w:lineRule="auto"/>
              <w:outlineLvl w:val="1"/>
              <w:rPr>
                <w:rFonts w:ascii="宋体" w:hAnsi="宋体"/>
                <w:szCs w:val="21"/>
              </w:rPr>
            </w:pPr>
            <w:r>
              <w:rPr>
                <w:rFonts w:hint="eastAsia" w:ascii="宋体" w:hAnsi="宋体"/>
                <w:szCs w:val="21"/>
              </w:rPr>
              <w:t>中医学知识和技能；中医学哲学基础（精气、阴阳、五行学说）；中医学生理（脏象、精气血津液神、经络、体质）；中医辩证论治及适宜技术。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教学要求</w:t>
            </w:r>
          </w:p>
        </w:tc>
        <w:tc>
          <w:tcPr>
            <w:tcW w:w="6520" w:type="dxa"/>
          </w:tcPr>
          <w:p>
            <w:pPr>
              <w:spacing w:line="360" w:lineRule="auto"/>
              <w:outlineLvl w:val="1"/>
              <w:rPr>
                <w:rFonts w:ascii="宋体" w:hAnsi="宋体"/>
                <w:szCs w:val="21"/>
              </w:rPr>
            </w:pPr>
            <w:r>
              <w:rPr>
                <w:rFonts w:hint="eastAsia" w:ascii="宋体" w:hAnsi="宋体"/>
                <w:szCs w:val="21"/>
              </w:rPr>
              <w:t>通过多媒体、数字化教学、案例教学、启发教学、任务驱动教学、模拟病房、角色扮演情景教学等，线上线下混合教学，使学生逐渐了解中国传统医学在防病治病方面的魅力，培养学生运用中医学理论来辨析、防治疾病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360" w:lineRule="auto"/>
              <w:jc w:val="center"/>
              <w:outlineLvl w:val="1"/>
              <w:rPr>
                <w:rFonts w:ascii="宋体" w:hAnsi="宋体"/>
                <w:szCs w:val="21"/>
              </w:rPr>
            </w:pPr>
            <w:r>
              <w:rPr>
                <w:rFonts w:hint="eastAsia" w:ascii="宋体" w:hAnsi="宋体"/>
                <w:szCs w:val="21"/>
              </w:rPr>
              <w:t>2</w:t>
            </w:r>
          </w:p>
        </w:tc>
        <w:tc>
          <w:tcPr>
            <w:tcW w:w="1134" w:type="dxa"/>
            <w:vMerge w:val="restart"/>
            <w:vAlign w:val="center"/>
          </w:tcPr>
          <w:p>
            <w:pPr>
              <w:spacing w:line="360" w:lineRule="auto"/>
              <w:jc w:val="center"/>
              <w:rPr>
                <w:rFonts w:ascii="宋体" w:hAnsi="宋体"/>
                <w:szCs w:val="21"/>
              </w:rPr>
            </w:pPr>
            <w:r>
              <w:rPr>
                <w:rFonts w:hint="eastAsia" w:ascii="宋体" w:hAnsi="宋体"/>
                <w:szCs w:val="21"/>
              </w:rPr>
              <w:t>全科医学概论</w:t>
            </w:r>
          </w:p>
        </w:tc>
        <w:tc>
          <w:tcPr>
            <w:tcW w:w="1560" w:type="dxa"/>
            <w:vAlign w:val="center"/>
          </w:tcPr>
          <w:p>
            <w:pPr>
              <w:spacing w:line="360" w:lineRule="auto"/>
              <w:jc w:val="center"/>
              <w:outlineLvl w:val="1"/>
              <w:rPr>
                <w:rFonts w:ascii="宋体" w:hAnsi="宋体"/>
                <w:szCs w:val="21"/>
              </w:rPr>
            </w:pPr>
            <w:r>
              <w:rPr>
                <w:rFonts w:hint="eastAsia" w:ascii="宋体" w:hAnsi="宋体"/>
                <w:szCs w:val="21"/>
              </w:rPr>
              <w:t>课程目标</w:t>
            </w:r>
          </w:p>
        </w:tc>
        <w:tc>
          <w:tcPr>
            <w:tcW w:w="6520" w:type="dxa"/>
          </w:tcPr>
          <w:p>
            <w:pPr>
              <w:spacing w:line="360" w:lineRule="auto"/>
              <w:outlineLvl w:val="1"/>
              <w:rPr>
                <w:rFonts w:ascii="宋体" w:hAnsi="宋体"/>
                <w:szCs w:val="21"/>
              </w:rPr>
            </w:pPr>
            <w:r>
              <w:rPr>
                <w:rFonts w:ascii="宋体" w:hAnsi="宋体"/>
                <w:szCs w:val="21"/>
              </w:rPr>
              <w:t>(1)</w:t>
            </w:r>
            <w:r>
              <w:rPr>
                <w:rFonts w:hint="eastAsia" w:ascii="宋体" w:hAnsi="宋体"/>
                <w:szCs w:val="21"/>
              </w:rPr>
              <w:t>掌握全科医学基本知识和服务模式。</w:t>
            </w:r>
            <w:r>
              <w:rPr>
                <w:rFonts w:ascii="宋体" w:hAnsi="宋体"/>
                <w:szCs w:val="21"/>
              </w:rPr>
              <w:t>(2)</w:t>
            </w:r>
            <w:r>
              <w:rPr>
                <w:rFonts w:hint="eastAsia" w:ascii="宋体" w:hAnsi="宋体"/>
                <w:szCs w:val="21"/>
              </w:rPr>
              <w:t>具有以人为中心、家庭为单位、社区为基础，将医疗、预防、康复和健康促进有机结合的健康照顾能力。</w:t>
            </w:r>
            <w:r>
              <w:rPr>
                <w:rFonts w:ascii="宋体" w:hAnsi="宋体"/>
                <w:szCs w:val="21"/>
              </w:rPr>
              <w:t>(3)</w:t>
            </w:r>
            <w:r>
              <w:rPr>
                <w:rFonts w:hint="eastAsia" w:ascii="宋体" w:hAnsi="宋体"/>
                <w:szCs w:val="21"/>
              </w:rPr>
              <w:t>具有良好的人际沟通能力、人文关怀精神和服务意识。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主要教学内容</w:t>
            </w:r>
          </w:p>
        </w:tc>
        <w:tc>
          <w:tcPr>
            <w:tcW w:w="6520" w:type="dxa"/>
          </w:tcPr>
          <w:p>
            <w:pPr>
              <w:spacing w:line="360" w:lineRule="auto"/>
              <w:outlineLvl w:val="1"/>
              <w:rPr>
                <w:rFonts w:ascii="宋体" w:hAnsi="宋体"/>
                <w:szCs w:val="21"/>
              </w:rPr>
            </w:pPr>
            <w:r>
              <w:rPr>
                <w:rFonts w:hint="eastAsia" w:ascii="宋体" w:hAnsi="宋体"/>
                <w:szCs w:val="21"/>
              </w:rPr>
              <w:t>全科医学概况；以人为中心、家庭为单位、社区为基础、预防为先导的健康照顾；全科医疗临床思维；预防保健服务和管理。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教学要求</w:t>
            </w:r>
          </w:p>
        </w:tc>
        <w:tc>
          <w:tcPr>
            <w:tcW w:w="6520" w:type="dxa"/>
          </w:tcPr>
          <w:p>
            <w:pPr>
              <w:spacing w:line="360" w:lineRule="auto"/>
              <w:outlineLvl w:val="1"/>
              <w:rPr>
                <w:rFonts w:ascii="宋体" w:hAnsi="宋体"/>
                <w:szCs w:val="21"/>
              </w:rPr>
            </w:pPr>
            <w:r>
              <w:rPr>
                <w:rFonts w:hint="eastAsia" w:ascii="宋体" w:hAnsi="宋体"/>
                <w:szCs w:val="21"/>
              </w:rPr>
              <w:t>通过多媒体、数字化教学、案例教学、启发教学、任务驱动教学、社区实践活动等，线上线下混合教学，培养学生社区预防保健服务管理和健康照顾能力。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360" w:lineRule="auto"/>
              <w:jc w:val="center"/>
              <w:outlineLvl w:val="1"/>
              <w:rPr>
                <w:rFonts w:ascii="宋体" w:hAnsi="宋体"/>
                <w:szCs w:val="21"/>
              </w:rPr>
            </w:pPr>
            <w:r>
              <w:rPr>
                <w:rFonts w:hint="eastAsia" w:ascii="宋体" w:hAnsi="宋体"/>
                <w:szCs w:val="21"/>
              </w:rPr>
              <w:t>3</w:t>
            </w:r>
          </w:p>
        </w:tc>
        <w:tc>
          <w:tcPr>
            <w:tcW w:w="1134" w:type="dxa"/>
            <w:vMerge w:val="restart"/>
            <w:vAlign w:val="center"/>
          </w:tcPr>
          <w:p>
            <w:pPr>
              <w:spacing w:line="360" w:lineRule="auto"/>
              <w:jc w:val="center"/>
              <w:rPr>
                <w:rFonts w:ascii="宋体" w:hAnsi="宋体"/>
                <w:b/>
                <w:bCs/>
                <w:szCs w:val="21"/>
              </w:rPr>
            </w:pPr>
            <w:r>
              <w:rPr>
                <w:rFonts w:hint="eastAsia" w:ascii="宋体" w:hAnsi="宋体"/>
                <w:szCs w:val="21"/>
              </w:rPr>
              <w:t>传染病学</w:t>
            </w:r>
          </w:p>
        </w:tc>
        <w:tc>
          <w:tcPr>
            <w:tcW w:w="1560" w:type="dxa"/>
            <w:vAlign w:val="center"/>
          </w:tcPr>
          <w:p>
            <w:pPr>
              <w:spacing w:line="360" w:lineRule="auto"/>
              <w:jc w:val="center"/>
              <w:outlineLvl w:val="1"/>
              <w:rPr>
                <w:rFonts w:ascii="宋体" w:hAnsi="宋体"/>
                <w:szCs w:val="21"/>
              </w:rPr>
            </w:pPr>
            <w:r>
              <w:rPr>
                <w:rFonts w:hint="eastAsia" w:ascii="宋体" w:hAnsi="宋体"/>
                <w:szCs w:val="21"/>
              </w:rPr>
              <w:t>课程目标</w:t>
            </w:r>
          </w:p>
        </w:tc>
        <w:tc>
          <w:tcPr>
            <w:tcW w:w="6520" w:type="dxa"/>
          </w:tcPr>
          <w:p>
            <w:pPr>
              <w:spacing w:line="360" w:lineRule="auto"/>
              <w:outlineLvl w:val="1"/>
              <w:rPr>
                <w:rFonts w:ascii="宋体" w:hAnsi="宋体"/>
                <w:szCs w:val="21"/>
              </w:rPr>
            </w:pPr>
            <w:r>
              <w:rPr>
                <w:rFonts w:ascii="宋体" w:hAnsi="宋体"/>
                <w:szCs w:val="21"/>
              </w:rPr>
              <w:t>(1)</w:t>
            </w:r>
            <w:r>
              <w:rPr>
                <w:rFonts w:hint="eastAsia" w:ascii="宋体" w:hAnsi="宋体"/>
                <w:szCs w:val="21"/>
              </w:rPr>
              <w:t>掌握常见传染病的病因、临床表现、诊断和治疗。</w:t>
            </w:r>
            <w:r>
              <w:rPr>
                <w:rFonts w:ascii="宋体" w:hAnsi="宋体"/>
                <w:szCs w:val="21"/>
              </w:rPr>
              <w:t>(2)</w:t>
            </w:r>
            <w:r>
              <w:rPr>
                <w:rFonts w:hint="eastAsia" w:ascii="宋体" w:hAnsi="宋体"/>
                <w:szCs w:val="21"/>
              </w:rPr>
              <w:t>能对传染病患者及其家属针对性进行传染病消毒、隔离的健康教育。</w:t>
            </w:r>
            <w:r>
              <w:rPr>
                <w:rFonts w:ascii="宋体" w:hAnsi="宋体"/>
                <w:szCs w:val="21"/>
              </w:rPr>
              <w:t>(3)</w:t>
            </w:r>
            <w:r>
              <w:rPr>
                <w:rFonts w:hint="eastAsia" w:ascii="宋体" w:hAnsi="宋体"/>
                <w:szCs w:val="21"/>
              </w:rPr>
              <w:t>树立预防为主观念，具有甘于奉献、大爱无疆的医者精神。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主要教学内容</w:t>
            </w:r>
          </w:p>
        </w:tc>
        <w:tc>
          <w:tcPr>
            <w:tcW w:w="6520" w:type="dxa"/>
          </w:tcPr>
          <w:p>
            <w:pPr>
              <w:spacing w:line="360" w:lineRule="auto"/>
              <w:outlineLvl w:val="1"/>
              <w:rPr>
                <w:rFonts w:ascii="宋体" w:hAnsi="宋体"/>
                <w:szCs w:val="21"/>
              </w:rPr>
            </w:pPr>
            <w:r>
              <w:rPr>
                <w:rFonts w:hint="eastAsia" w:ascii="宋体" w:hAnsi="宋体"/>
                <w:szCs w:val="21"/>
              </w:rPr>
              <w:t>传染病病因、临床特点、诊治、预防；病毒、细菌、螺旋体、原虫、蠕虫等感染性疾病的临床特点、诊治、预防。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教学要求</w:t>
            </w:r>
          </w:p>
        </w:tc>
        <w:tc>
          <w:tcPr>
            <w:tcW w:w="6520" w:type="dxa"/>
          </w:tcPr>
          <w:p>
            <w:pPr>
              <w:spacing w:line="360" w:lineRule="auto"/>
              <w:outlineLvl w:val="1"/>
              <w:rPr>
                <w:rFonts w:ascii="宋体" w:hAnsi="宋体"/>
                <w:szCs w:val="21"/>
              </w:rPr>
            </w:pPr>
            <w:r>
              <w:rPr>
                <w:rFonts w:hint="eastAsia" w:ascii="宋体" w:hAnsi="宋体"/>
                <w:szCs w:val="21"/>
              </w:rPr>
              <w:t>通过多媒体、数字化教学、案例教学、启发教学、探究教学、任务驱动教学、临床见习实习等，线上线下混合教学，培养学生消毒、隔离、防治传染病的能力和甘于奉献、大爱无疆的医者精神。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360" w:lineRule="auto"/>
              <w:jc w:val="center"/>
              <w:outlineLvl w:val="1"/>
              <w:rPr>
                <w:rFonts w:ascii="宋体" w:hAnsi="宋体"/>
                <w:szCs w:val="21"/>
              </w:rPr>
            </w:pPr>
            <w:r>
              <w:rPr>
                <w:rFonts w:hint="eastAsia" w:ascii="宋体" w:hAnsi="宋体"/>
                <w:szCs w:val="21"/>
              </w:rPr>
              <w:t>4</w:t>
            </w:r>
          </w:p>
        </w:tc>
        <w:tc>
          <w:tcPr>
            <w:tcW w:w="1134" w:type="dxa"/>
            <w:vMerge w:val="restart"/>
            <w:vAlign w:val="center"/>
          </w:tcPr>
          <w:p>
            <w:pPr>
              <w:spacing w:line="360" w:lineRule="auto"/>
              <w:jc w:val="center"/>
              <w:rPr>
                <w:rFonts w:ascii="宋体" w:hAnsi="宋体"/>
                <w:b/>
                <w:bCs/>
                <w:szCs w:val="21"/>
              </w:rPr>
            </w:pPr>
            <w:r>
              <w:rPr>
                <w:rFonts w:hint="eastAsia" w:ascii="宋体" w:hAnsi="宋体"/>
                <w:szCs w:val="21"/>
              </w:rPr>
              <w:t>皮肤性病学</w:t>
            </w:r>
          </w:p>
        </w:tc>
        <w:tc>
          <w:tcPr>
            <w:tcW w:w="1560" w:type="dxa"/>
            <w:vAlign w:val="center"/>
          </w:tcPr>
          <w:p>
            <w:pPr>
              <w:spacing w:line="360" w:lineRule="auto"/>
              <w:jc w:val="center"/>
              <w:outlineLvl w:val="1"/>
              <w:rPr>
                <w:rFonts w:ascii="宋体" w:hAnsi="宋体"/>
                <w:szCs w:val="21"/>
              </w:rPr>
            </w:pPr>
            <w:r>
              <w:rPr>
                <w:rFonts w:hint="eastAsia" w:ascii="宋体" w:hAnsi="宋体"/>
                <w:szCs w:val="21"/>
              </w:rPr>
              <w:t>课程目标</w:t>
            </w:r>
          </w:p>
        </w:tc>
        <w:tc>
          <w:tcPr>
            <w:tcW w:w="6520" w:type="dxa"/>
          </w:tcPr>
          <w:p>
            <w:pPr>
              <w:spacing w:line="360" w:lineRule="auto"/>
              <w:outlineLvl w:val="1"/>
              <w:rPr>
                <w:rFonts w:ascii="宋体" w:hAnsi="宋体"/>
                <w:szCs w:val="21"/>
              </w:rPr>
            </w:pPr>
            <w:r>
              <w:rPr>
                <w:rFonts w:ascii="宋体" w:hAnsi="宋体"/>
                <w:szCs w:val="21"/>
              </w:rPr>
              <w:t>(1)</w:t>
            </w:r>
            <w:r>
              <w:rPr>
                <w:rFonts w:hint="eastAsia" w:ascii="宋体" w:hAnsi="宋体"/>
                <w:szCs w:val="21"/>
              </w:rPr>
              <w:t>掌握皮肤结构、功能；掌握常见皮肤病、性病的临床表现、诊断和防治。</w:t>
            </w:r>
            <w:r>
              <w:rPr>
                <w:rFonts w:ascii="宋体" w:hAnsi="宋体"/>
                <w:szCs w:val="21"/>
              </w:rPr>
              <w:t>(2)</w:t>
            </w:r>
            <w:r>
              <w:rPr>
                <w:rFonts w:hint="eastAsia" w:ascii="宋体" w:hAnsi="宋体"/>
                <w:szCs w:val="21"/>
              </w:rPr>
              <w:t>能对皮肤性病患者进行个性化的健康教育。</w:t>
            </w:r>
            <w:r>
              <w:rPr>
                <w:rFonts w:ascii="宋体" w:hAnsi="宋体"/>
                <w:szCs w:val="21"/>
              </w:rPr>
              <w:t>(3)</w:t>
            </w:r>
            <w:r>
              <w:rPr>
                <w:rFonts w:hint="eastAsia" w:ascii="宋体" w:hAnsi="宋体"/>
                <w:szCs w:val="21"/>
              </w:rPr>
              <w:t>关爱尊重病人，保护病人隐私。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主要教学内容</w:t>
            </w:r>
          </w:p>
        </w:tc>
        <w:tc>
          <w:tcPr>
            <w:tcW w:w="6520" w:type="dxa"/>
          </w:tcPr>
          <w:p>
            <w:pPr>
              <w:spacing w:line="360" w:lineRule="auto"/>
              <w:outlineLvl w:val="1"/>
              <w:rPr>
                <w:rFonts w:ascii="宋体" w:hAnsi="宋体"/>
                <w:szCs w:val="21"/>
              </w:rPr>
            </w:pPr>
            <w:r>
              <w:rPr>
                <w:rFonts w:hint="eastAsia" w:ascii="宋体" w:hAnsi="宋体"/>
                <w:szCs w:val="21"/>
              </w:rPr>
              <w:t>皮肤结构与功能；常见皮肤病、性病的病因、临床表现、诊断和防治。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教学要求</w:t>
            </w:r>
          </w:p>
        </w:tc>
        <w:tc>
          <w:tcPr>
            <w:tcW w:w="6520" w:type="dxa"/>
          </w:tcPr>
          <w:p>
            <w:pPr>
              <w:spacing w:line="360" w:lineRule="auto"/>
              <w:outlineLvl w:val="1"/>
              <w:rPr>
                <w:rFonts w:ascii="宋体" w:hAnsi="宋体"/>
                <w:szCs w:val="21"/>
              </w:rPr>
            </w:pPr>
            <w:r>
              <w:rPr>
                <w:rFonts w:hint="eastAsia" w:ascii="宋体" w:hAnsi="宋体"/>
                <w:szCs w:val="21"/>
              </w:rPr>
              <w:t>通过多媒体、数字化教学、案例教学、任务驱动教学、临床见习等，线上线下混合教学，培养个性化健康教育能力及疾病防治能力。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360" w:lineRule="auto"/>
              <w:jc w:val="center"/>
              <w:outlineLvl w:val="1"/>
              <w:rPr>
                <w:rFonts w:ascii="宋体" w:hAnsi="宋体"/>
                <w:szCs w:val="21"/>
              </w:rPr>
            </w:pPr>
            <w:r>
              <w:rPr>
                <w:rFonts w:hint="eastAsia" w:ascii="宋体" w:hAnsi="宋体"/>
                <w:szCs w:val="21"/>
              </w:rPr>
              <w:t>5</w:t>
            </w:r>
          </w:p>
        </w:tc>
        <w:tc>
          <w:tcPr>
            <w:tcW w:w="1134" w:type="dxa"/>
            <w:vMerge w:val="restart"/>
            <w:vAlign w:val="center"/>
          </w:tcPr>
          <w:p>
            <w:pPr>
              <w:spacing w:line="360" w:lineRule="auto"/>
              <w:jc w:val="center"/>
              <w:rPr>
                <w:rFonts w:ascii="宋体" w:hAnsi="宋体"/>
                <w:szCs w:val="21"/>
              </w:rPr>
            </w:pPr>
            <w:r>
              <w:rPr>
                <w:rFonts w:hint="eastAsia" w:ascii="宋体" w:hAnsi="宋体"/>
                <w:szCs w:val="21"/>
              </w:rPr>
              <w:t>眼耳鼻咽喉口腔科学</w:t>
            </w:r>
          </w:p>
        </w:tc>
        <w:tc>
          <w:tcPr>
            <w:tcW w:w="1560" w:type="dxa"/>
            <w:vAlign w:val="center"/>
          </w:tcPr>
          <w:p>
            <w:pPr>
              <w:spacing w:line="360" w:lineRule="auto"/>
              <w:jc w:val="center"/>
              <w:outlineLvl w:val="1"/>
              <w:rPr>
                <w:rFonts w:ascii="宋体" w:hAnsi="宋体"/>
                <w:szCs w:val="21"/>
              </w:rPr>
            </w:pPr>
            <w:r>
              <w:rPr>
                <w:rFonts w:hint="eastAsia" w:ascii="宋体" w:hAnsi="宋体"/>
                <w:szCs w:val="21"/>
              </w:rPr>
              <w:t>课程目标</w:t>
            </w:r>
          </w:p>
        </w:tc>
        <w:tc>
          <w:tcPr>
            <w:tcW w:w="6520" w:type="dxa"/>
          </w:tcPr>
          <w:p>
            <w:pPr>
              <w:spacing w:line="360" w:lineRule="auto"/>
              <w:outlineLvl w:val="1"/>
              <w:rPr>
                <w:rFonts w:ascii="宋体" w:hAnsi="宋体"/>
                <w:szCs w:val="21"/>
              </w:rPr>
            </w:pPr>
            <w:r>
              <w:rPr>
                <w:rFonts w:ascii="宋体" w:hAnsi="宋体"/>
                <w:szCs w:val="21"/>
              </w:rPr>
              <w:t>(1)</w:t>
            </w:r>
            <w:r>
              <w:rPr>
                <w:rFonts w:hint="eastAsia" w:ascii="宋体" w:hAnsi="宋体"/>
                <w:szCs w:val="21"/>
              </w:rPr>
              <w:t>掌握眼耳鼻咽喉口腔科常见病病因、临床表现、诊治。</w:t>
            </w:r>
            <w:r>
              <w:rPr>
                <w:rFonts w:ascii="宋体" w:hAnsi="宋体"/>
                <w:szCs w:val="21"/>
              </w:rPr>
              <w:t>(2)</w:t>
            </w:r>
            <w:r>
              <w:rPr>
                <w:rFonts w:hint="eastAsia" w:ascii="宋体" w:hAnsi="宋体"/>
                <w:szCs w:val="21"/>
              </w:rPr>
              <w:t>学会眼耳鼻咽喉口腔科诊治操作技术。</w:t>
            </w:r>
            <w:r>
              <w:rPr>
                <w:rFonts w:ascii="宋体" w:hAnsi="宋体"/>
                <w:szCs w:val="21"/>
              </w:rPr>
              <w:t>(3)</w:t>
            </w:r>
            <w:r>
              <w:rPr>
                <w:rFonts w:hint="eastAsia" w:ascii="宋体" w:hAnsi="宋体"/>
                <w:szCs w:val="21"/>
              </w:rPr>
              <w:t>具有良好的人际沟通能力和人文关怀精神。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主要教学内容</w:t>
            </w:r>
          </w:p>
        </w:tc>
        <w:tc>
          <w:tcPr>
            <w:tcW w:w="6520" w:type="dxa"/>
          </w:tcPr>
          <w:p>
            <w:pPr>
              <w:spacing w:line="360" w:lineRule="auto"/>
              <w:outlineLvl w:val="1"/>
              <w:rPr>
                <w:rFonts w:ascii="宋体" w:hAnsi="宋体"/>
                <w:szCs w:val="21"/>
              </w:rPr>
            </w:pPr>
            <w:r>
              <w:rPr>
                <w:rFonts w:hint="eastAsia" w:ascii="宋体" w:hAnsi="宋体"/>
                <w:szCs w:val="21"/>
              </w:rPr>
              <w:t xml:space="preserve">眼耳鼻咽喉口腔的解剖生理、常用检查方法，眼耳鼻咽喉口腔常见病的临床表现、诊治。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教学要求</w:t>
            </w:r>
          </w:p>
        </w:tc>
        <w:tc>
          <w:tcPr>
            <w:tcW w:w="6520" w:type="dxa"/>
          </w:tcPr>
          <w:p>
            <w:pPr>
              <w:spacing w:line="360" w:lineRule="auto"/>
              <w:outlineLvl w:val="1"/>
              <w:rPr>
                <w:rFonts w:ascii="宋体" w:hAnsi="宋体"/>
                <w:szCs w:val="21"/>
              </w:rPr>
            </w:pPr>
            <w:r>
              <w:rPr>
                <w:rFonts w:hint="eastAsia" w:ascii="宋体" w:hAnsi="宋体"/>
                <w:szCs w:val="21"/>
              </w:rPr>
              <w:t>通过多媒体、数字化教学、案例教学、启发教学、操作技能实训等，线上线下混合教学，培养学生诊治疾病能力和眼耳鼻咽喉口腔保健指导能力。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360" w:lineRule="auto"/>
              <w:jc w:val="center"/>
              <w:outlineLvl w:val="1"/>
              <w:rPr>
                <w:rFonts w:ascii="宋体" w:hAnsi="宋体"/>
                <w:szCs w:val="21"/>
              </w:rPr>
            </w:pPr>
            <w:r>
              <w:rPr>
                <w:rFonts w:hint="eastAsia" w:ascii="宋体" w:hAnsi="宋体"/>
                <w:szCs w:val="21"/>
              </w:rPr>
              <w:t>6</w:t>
            </w:r>
          </w:p>
        </w:tc>
        <w:tc>
          <w:tcPr>
            <w:tcW w:w="1134" w:type="dxa"/>
            <w:vMerge w:val="restart"/>
            <w:vAlign w:val="center"/>
          </w:tcPr>
          <w:p>
            <w:pPr>
              <w:spacing w:line="360" w:lineRule="auto"/>
              <w:jc w:val="center"/>
              <w:outlineLvl w:val="1"/>
              <w:rPr>
                <w:rFonts w:ascii="宋体" w:hAnsi="宋体"/>
                <w:szCs w:val="21"/>
              </w:rPr>
            </w:pPr>
            <w:r>
              <w:rPr>
                <w:rFonts w:hint="eastAsia" w:ascii="宋体" w:hAnsi="宋体"/>
                <w:szCs w:val="21"/>
              </w:rPr>
              <w:t>神经精神病学</w:t>
            </w:r>
          </w:p>
        </w:tc>
        <w:tc>
          <w:tcPr>
            <w:tcW w:w="1560" w:type="dxa"/>
            <w:vAlign w:val="center"/>
          </w:tcPr>
          <w:p>
            <w:pPr>
              <w:spacing w:line="360" w:lineRule="auto"/>
              <w:jc w:val="center"/>
              <w:outlineLvl w:val="1"/>
              <w:rPr>
                <w:rFonts w:ascii="宋体" w:hAnsi="宋体"/>
                <w:szCs w:val="21"/>
              </w:rPr>
            </w:pPr>
            <w:r>
              <w:rPr>
                <w:rFonts w:hint="eastAsia" w:ascii="宋体" w:hAnsi="宋体"/>
                <w:szCs w:val="21"/>
              </w:rPr>
              <w:t>课程目标</w:t>
            </w:r>
          </w:p>
        </w:tc>
        <w:tc>
          <w:tcPr>
            <w:tcW w:w="6520" w:type="dxa"/>
          </w:tcPr>
          <w:p>
            <w:pPr>
              <w:spacing w:line="360" w:lineRule="auto"/>
              <w:outlineLvl w:val="1"/>
              <w:rPr>
                <w:rFonts w:ascii="宋体" w:hAnsi="宋体"/>
                <w:szCs w:val="21"/>
              </w:rPr>
            </w:pPr>
            <w:r>
              <w:rPr>
                <w:rFonts w:hint="eastAsia" w:ascii="宋体" w:hAnsi="宋体"/>
                <w:szCs w:val="21"/>
              </w:rPr>
              <w:t>（1）掌握神经系统检查方法，掌握神经系统常见症状、体征及临床意义。（2）掌握神经系统和骨骼肌常见病、多发病的病因、病机、临床表现、诊断及鉴别诊断、治疗及预后。（3）学会神经系统检查操作技术。（4）具有良好的人际沟通能力和人文关怀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主要教学内容</w:t>
            </w:r>
          </w:p>
        </w:tc>
        <w:tc>
          <w:tcPr>
            <w:tcW w:w="6520" w:type="dxa"/>
          </w:tcPr>
          <w:p>
            <w:pPr>
              <w:spacing w:line="360" w:lineRule="auto"/>
              <w:outlineLvl w:val="1"/>
              <w:rPr>
                <w:rFonts w:ascii="宋体" w:hAnsi="宋体"/>
                <w:szCs w:val="21"/>
              </w:rPr>
            </w:pPr>
            <w:r>
              <w:rPr>
                <w:rFonts w:hint="eastAsia" w:ascii="宋体" w:hAnsi="宋体"/>
                <w:szCs w:val="21"/>
              </w:rPr>
              <w:t>绪论；病史、常见症状及体格检查；神经精神疾病常用的辅助检查；神经精神疾病的诊断原则；神经系统和骨骼肌常见病、多发病的病因、病机、临床表现、诊断及鉴别诊断、治疗及预后。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教学要求</w:t>
            </w:r>
          </w:p>
        </w:tc>
        <w:tc>
          <w:tcPr>
            <w:tcW w:w="6520" w:type="dxa"/>
          </w:tcPr>
          <w:p>
            <w:pPr>
              <w:spacing w:line="360" w:lineRule="auto"/>
              <w:outlineLvl w:val="1"/>
              <w:rPr>
                <w:rFonts w:ascii="宋体" w:hAnsi="宋体"/>
                <w:szCs w:val="21"/>
              </w:rPr>
            </w:pPr>
            <w:r>
              <w:rPr>
                <w:rFonts w:hint="eastAsia" w:ascii="宋体" w:hAnsi="宋体"/>
                <w:szCs w:val="21"/>
              </w:rPr>
              <w:t>通过多媒体、数字化教学、案例教学、启发教学等，线上线下混合教学，培养学生诊治疾病的能力和甘于奉献、大爱无疆的医者精神。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360" w:lineRule="auto"/>
              <w:jc w:val="center"/>
              <w:outlineLvl w:val="1"/>
              <w:rPr>
                <w:rFonts w:ascii="宋体" w:hAnsi="宋体"/>
                <w:szCs w:val="21"/>
              </w:rPr>
            </w:pPr>
            <w:r>
              <w:rPr>
                <w:rFonts w:hint="eastAsia" w:ascii="宋体" w:hAnsi="宋体"/>
                <w:szCs w:val="21"/>
              </w:rPr>
              <w:t>7</w:t>
            </w:r>
          </w:p>
        </w:tc>
        <w:tc>
          <w:tcPr>
            <w:tcW w:w="1134" w:type="dxa"/>
            <w:vMerge w:val="restart"/>
            <w:vAlign w:val="center"/>
          </w:tcPr>
          <w:p>
            <w:pPr>
              <w:spacing w:line="360" w:lineRule="auto"/>
              <w:jc w:val="center"/>
              <w:rPr>
                <w:rFonts w:ascii="宋体" w:hAnsi="宋体"/>
                <w:szCs w:val="21"/>
              </w:rPr>
            </w:pPr>
            <w:r>
              <w:rPr>
                <w:rFonts w:hint="eastAsia" w:ascii="宋体" w:hAnsi="宋体"/>
                <w:szCs w:val="21"/>
              </w:rPr>
              <w:t>康复医学</w:t>
            </w:r>
          </w:p>
        </w:tc>
        <w:tc>
          <w:tcPr>
            <w:tcW w:w="1560" w:type="dxa"/>
            <w:vAlign w:val="center"/>
          </w:tcPr>
          <w:p>
            <w:pPr>
              <w:spacing w:line="360" w:lineRule="auto"/>
              <w:jc w:val="center"/>
              <w:outlineLvl w:val="1"/>
              <w:rPr>
                <w:rFonts w:ascii="宋体" w:hAnsi="宋体"/>
                <w:szCs w:val="21"/>
              </w:rPr>
            </w:pPr>
            <w:r>
              <w:rPr>
                <w:rFonts w:hint="eastAsia" w:ascii="宋体" w:hAnsi="宋体"/>
                <w:szCs w:val="21"/>
              </w:rPr>
              <w:t>课程目标</w:t>
            </w:r>
          </w:p>
        </w:tc>
        <w:tc>
          <w:tcPr>
            <w:tcW w:w="6520" w:type="dxa"/>
          </w:tcPr>
          <w:p>
            <w:pPr>
              <w:spacing w:line="360" w:lineRule="auto"/>
              <w:outlineLvl w:val="1"/>
              <w:rPr>
                <w:rFonts w:ascii="宋体" w:hAnsi="宋体"/>
                <w:szCs w:val="21"/>
              </w:rPr>
            </w:pPr>
            <w:r>
              <w:rPr>
                <w:rFonts w:ascii="宋体" w:hAnsi="宋体"/>
                <w:szCs w:val="21"/>
              </w:rPr>
              <w:t>(1)</w:t>
            </w:r>
            <w:r>
              <w:rPr>
                <w:rFonts w:hint="eastAsia"/>
              </w:rPr>
              <w:t xml:space="preserve"> </w:t>
            </w:r>
            <w:r>
              <w:rPr>
                <w:rFonts w:hint="eastAsia" w:ascii="宋体" w:hAnsi="宋体"/>
                <w:szCs w:val="21"/>
              </w:rPr>
              <w:t>掌握康复医学的基本理论、康复医学评定内容；掌握康复治疗技术及常见疾病的康复治疗。</w:t>
            </w:r>
            <w:r>
              <w:rPr>
                <w:rFonts w:ascii="宋体" w:hAnsi="宋体"/>
                <w:szCs w:val="21"/>
              </w:rPr>
              <w:t>(2)</w:t>
            </w:r>
            <w:r>
              <w:rPr>
                <w:rFonts w:hint="eastAsia" w:ascii="宋体" w:hAnsi="宋体"/>
                <w:szCs w:val="21"/>
              </w:rPr>
              <w:t>具有康复治疗技术能力。</w:t>
            </w:r>
            <w:r>
              <w:rPr>
                <w:rFonts w:ascii="宋体" w:hAnsi="宋体"/>
                <w:szCs w:val="21"/>
              </w:rPr>
              <w:t>(3)</w:t>
            </w:r>
            <w:r>
              <w:rPr>
                <w:rFonts w:hint="eastAsia" w:ascii="宋体" w:hAnsi="宋体"/>
                <w:szCs w:val="21"/>
              </w:rPr>
              <w:t>具有良好的人际沟通能力、人文关怀精神和服务意识。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主要教学内容</w:t>
            </w:r>
          </w:p>
        </w:tc>
        <w:tc>
          <w:tcPr>
            <w:tcW w:w="6520" w:type="dxa"/>
          </w:tcPr>
          <w:p>
            <w:pPr>
              <w:spacing w:line="360" w:lineRule="auto"/>
              <w:outlineLvl w:val="1"/>
              <w:rPr>
                <w:rFonts w:ascii="宋体" w:hAnsi="宋体"/>
                <w:szCs w:val="21"/>
              </w:rPr>
            </w:pPr>
            <w:r>
              <w:rPr>
                <w:rFonts w:hint="eastAsia" w:ascii="宋体" w:hAnsi="宋体"/>
                <w:szCs w:val="21"/>
              </w:rPr>
              <w:t>康复医学概况；康复医学评定内容、方法及注意事项；康复治疗技术；常见疾病的康复治疗。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outlineLvl w:val="1"/>
              <w:rPr>
                <w:rFonts w:ascii="宋体" w:hAnsi="宋体"/>
                <w:szCs w:val="21"/>
              </w:rPr>
            </w:pPr>
          </w:p>
        </w:tc>
        <w:tc>
          <w:tcPr>
            <w:tcW w:w="1134" w:type="dxa"/>
            <w:vMerge w:val="continue"/>
            <w:vAlign w:val="center"/>
          </w:tcPr>
          <w:p>
            <w:pPr>
              <w:spacing w:line="360" w:lineRule="auto"/>
              <w:jc w:val="center"/>
              <w:outlineLvl w:val="1"/>
              <w:rPr>
                <w:rFonts w:ascii="宋体" w:hAnsi="宋体"/>
                <w:szCs w:val="21"/>
              </w:rPr>
            </w:pPr>
          </w:p>
        </w:tc>
        <w:tc>
          <w:tcPr>
            <w:tcW w:w="1560" w:type="dxa"/>
            <w:vAlign w:val="center"/>
          </w:tcPr>
          <w:p>
            <w:pPr>
              <w:spacing w:line="360" w:lineRule="auto"/>
              <w:jc w:val="center"/>
              <w:outlineLvl w:val="1"/>
              <w:rPr>
                <w:rFonts w:ascii="宋体" w:hAnsi="宋体"/>
                <w:szCs w:val="21"/>
              </w:rPr>
            </w:pPr>
            <w:r>
              <w:rPr>
                <w:rFonts w:hint="eastAsia" w:ascii="宋体" w:hAnsi="宋体"/>
                <w:szCs w:val="21"/>
              </w:rPr>
              <w:t>教学要求</w:t>
            </w:r>
          </w:p>
        </w:tc>
        <w:tc>
          <w:tcPr>
            <w:tcW w:w="6520" w:type="dxa"/>
          </w:tcPr>
          <w:p>
            <w:pPr>
              <w:spacing w:line="360" w:lineRule="auto"/>
              <w:outlineLvl w:val="1"/>
              <w:rPr>
                <w:rFonts w:ascii="宋体" w:hAnsi="宋体"/>
                <w:szCs w:val="21"/>
              </w:rPr>
            </w:pPr>
            <w:r>
              <w:rPr>
                <w:rFonts w:hint="eastAsia" w:ascii="宋体" w:hAnsi="宋体"/>
                <w:szCs w:val="21"/>
              </w:rPr>
              <w:t>通过多媒体、数字化教学、案例教学、启发教学、任务驱动教学、操作技能实训等，线上线下混合教学，培养学生对常见疾病的康复治疗技术能力。</w:t>
            </w:r>
          </w:p>
        </w:tc>
      </w:tr>
    </w:tbl>
    <w:p>
      <w:pPr>
        <w:spacing w:line="360" w:lineRule="auto"/>
        <w:ind w:firstLine="482" w:firstLineChars="200"/>
        <w:jc w:val="left"/>
        <w:rPr>
          <w:rFonts w:ascii="宋体" w:hAnsi="宋体"/>
          <w:b/>
          <w:sz w:val="24"/>
          <w:szCs w:val="24"/>
        </w:rPr>
      </w:pPr>
      <w:r>
        <w:rPr>
          <w:rFonts w:hint="eastAsia" w:ascii="宋体" w:hAnsi="宋体"/>
          <w:b/>
          <w:sz w:val="24"/>
          <w:szCs w:val="24"/>
        </w:rPr>
        <w:t>（五）选修课程</w:t>
      </w:r>
    </w:p>
    <w:p>
      <w:pPr>
        <w:spacing w:line="360" w:lineRule="auto"/>
        <w:ind w:firstLine="480" w:firstLineChars="200"/>
        <w:jc w:val="left"/>
        <w:rPr>
          <w:rFonts w:ascii="宋体" w:hAnsi="宋体"/>
          <w:sz w:val="24"/>
          <w:szCs w:val="24"/>
        </w:rPr>
      </w:pPr>
      <w:r>
        <w:rPr>
          <w:rFonts w:hint="eastAsia" w:ascii="宋体" w:hAnsi="宋体"/>
          <w:sz w:val="24"/>
          <w:szCs w:val="24"/>
        </w:rPr>
        <w:t>选修课程重在丰富学生医学人文知识和医学专业相关知识，培养学生人际沟通能力，促进学生获取知识能力的发展，增强学生职业适应能力和就业竞争能力。</w:t>
      </w:r>
    </w:p>
    <w:p>
      <w:pPr>
        <w:spacing w:line="360" w:lineRule="auto"/>
        <w:ind w:firstLine="480" w:firstLineChars="200"/>
        <w:jc w:val="left"/>
        <w:rPr>
          <w:rFonts w:ascii="宋体" w:hAnsi="宋体"/>
          <w:sz w:val="24"/>
          <w:szCs w:val="24"/>
        </w:rPr>
      </w:pPr>
      <w:r>
        <w:rPr>
          <w:rFonts w:hint="eastAsia" w:ascii="宋体" w:hAnsi="宋体"/>
          <w:sz w:val="24"/>
          <w:szCs w:val="24"/>
        </w:rPr>
        <w:t>课程设置包括美育、职业素养、医用化学基础、医学文献检索、细胞生物学和医学遗传学、医学影像诊断技术、常用护理技术、医学科研方法与论文写作等。</w:t>
      </w:r>
    </w:p>
    <w:p>
      <w:pPr>
        <w:spacing w:line="360" w:lineRule="auto"/>
        <w:ind w:firstLine="482" w:firstLineChars="200"/>
        <w:jc w:val="left"/>
        <w:rPr>
          <w:rFonts w:ascii="宋体" w:hAnsi="宋体"/>
          <w:b/>
          <w:sz w:val="24"/>
          <w:szCs w:val="24"/>
        </w:rPr>
      </w:pPr>
      <w:r>
        <w:rPr>
          <w:rFonts w:hint="eastAsia" w:ascii="宋体" w:hAnsi="宋体"/>
          <w:b/>
          <w:sz w:val="24"/>
          <w:szCs w:val="24"/>
        </w:rPr>
        <w:t>（六）专业技能综合实训</w:t>
      </w:r>
    </w:p>
    <w:p>
      <w:pPr>
        <w:spacing w:line="360" w:lineRule="auto"/>
        <w:ind w:firstLine="480" w:firstLineChars="200"/>
        <w:jc w:val="left"/>
        <w:rPr>
          <w:rFonts w:ascii="宋体" w:hAnsi="宋体"/>
          <w:sz w:val="24"/>
          <w:szCs w:val="24"/>
        </w:rPr>
      </w:pPr>
      <w:r>
        <w:rPr>
          <w:rFonts w:hint="eastAsia" w:ascii="宋体" w:hAnsi="宋体"/>
          <w:sz w:val="24"/>
          <w:szCs w:val="24"/>
        </w:rPr>
        <w:t>专业技能综合实训重在培养学生的动手能力和理论联系实践的综合能力，培养学生认真、细致、严谨、科学求实、团结合作的职业素质和精益求精的工匠精神。</w:t>
      </w:r>
    </w:p>
    <w:p>
      <w:pPr>
        <w:spacing w:line="360" w:lineRule="auto"/>
        <w:ind w:firstLine="482" w:firstLineChars="200"/>
        <w:jc w:val="left"/>
        <w:rPr>
          <w:rFonts w:ascii="宋体" w:hAnsi="宋体"/>
          <w:b/>
          <w:sz w:val="24"/>
          <w:szCs w:val="24"/>
        </w:rPr>
      </w:pPr>
      <w:r>
        <w:rPr>
          <w:rFonts w:hint="eastAsia" w:ascii="宋体" w:hAnsi="宋体"/>
          <w:b/>
          <w:sz w:val="24"/>
          <w:szCs w:val="24"/>
        </w:rPr>
        <w:t>（七）毕业实习</w:t>
      </w:r>
    </w:p>
    <w:p>
      <w:pPr>
        <w:spacing w:line="360" w:lineRule="auto"/>
        <w:ind w:firstLine="480" w:firstLineChars="200"/>
        <w:jc w:val="left"/>
        <w:outlineLvl w:val="0"/>
        <w:rPr>
          <w:rFonts w:ascii="宋体" w:hAnsi="宋体"/>
          <w:sz w:val="24"/>
          <w:szCs w:val="24"/>
        </w:rPr>
      </w:pPr>
      <w:r>
        <w:rPr>
          <w:rFonts w:hint="eastAsia" w:ascii="宋体" w:hAnsi="宋体"/>
          <w:sz w:val="24"/>
          <w:szCs w:val="24"/>
        </w:rPr>
        <w:t>毕业实习在二级甲等及以上的综合性医院和有一定规模的基层医疗卫生服务机构完成，实习单位要有专门的实习管理部门和管理人员，严格执行《职业学校学生实习管理规定》和《高等职业学校临床医学专业顶岗实习标准》。毕业实习重在提高学生预防、医疗、保健、康复、健康教育、计划生育技术等临床实践能力和临床思维能力，培养学生爱岗敬业、医者仁心、大爱无疆、始终把民众的生命安全和身体健康放在首位的职业精神。</w:t>
      </w:r>
    </w:p>
    <w:p>
      <w:pPr>
        <w:spacing w:line="360" w:lineRule="auto"/>
        <w:ind w:firstLine="482" w:firstLineChars="200"/>
        <w:jc w:val="left"/>
        <w:outlineLvl w:val="0"/>
        <w:rPr>
          <w:rFonts w:ascii="宋体" w:hAnsi="宋体"/>
          <w:b/>
          <w:sz w:val="24"/>
          <w:szCs w:val="24"/>
        </w:rPr>
      </w:pPr>
      <w:r>
        <w:rPr>
          <w:rFonts w:hint="eastAsia" w:ascii="宋体" w:hAnsi="宋体"/>
          <w:b/>
          <w:sz w:val="24"/>
          <w:szCs w:val="24"/>
        </w:rPr>
        <w:t>1.实习目标</w:t>
      </w:r>
    </w:p>
    <w:p>
      <w:pPr>
        <w:spacing w:line="360" w:lineRule="auto"/>
        <w:ind w:firstLine="480" w:firstLineChars="200"/>
        <w:jc w:val="left"/>
        <w:outlineLvl w:val="0"/>
        <w:rPr>
          <w:rFonts w:ascii="宋体" w:hAnsi="宋体"/>
          <w:sz w:val="24"/>
          <w:szCs w:val="24"/>
        </w:rPr>
      </w:pPr>
      <w:r>
        <w:rPr>
          <w:rFonts w:hint="eastAsia" w:ascii="宋体" w:hAnsi="宋体"/>
          <w:sz w:val="24"/>
          <w:szCs w:val="24"/>
        </w:rPr>
        <w:t xml:space="preserve">通过毕业实习，使学生了解医疗卫生服务机构的运作、组织架构、规章制度和医疗文化，掌握岗位的典型工作流程、工作内容及核心技能，提高专业综合能力和综合素质。 </w:t>
      </w:r>
    </w:p>
    <w:p>
      <w:pPr>
        <w:spacing w:line="360" w:lineRule="auto"/>
        <w:ind w:firstLine="482" w:firstLineChars="200"/>
        <w:outlineLvl w:val="0"/>
        <w:rPr>
          <w:rFonts w:ascii="宋体" w:hAnsi="宋体"/>
          <w:b/>
          <w:sz w:val="24"/>
          <w:szCs w:val="24"/>
        </w:rPr>
      </w:pPr>
      <w:r>
        <w:rPr>
          <w:rFonts w:hint="eastAsia" w:ascii="宋体" w:hAnsi="宋体"/>
          <w:b/>
          <w:sz w:val="24"/>
          <w:szCs w:val="24"/>
        </w:rPr>
        <w:t>2.实习条件</w:t>
      </w:r>
    </w:p>
    <w:p>
      <w:pPr>
        <w:spacing w:line="360" w:lineRule="auto"/>
        <w:ind w:firstLine="480" w:firstLineChars="200"/>
        <w:outlineLvl w:val="0"/>
        <w:rPr>
          <w:rFonts w:ascii="宋体" w:hAnsi="宋体"/>
          <w:sz w:val="24"/>
          <w:szCs w:val="24"/>
        </w:rPr>
      </w:pPr>
      <w:r>
        <w:rPr>
          <w:rFonts w:hint="eastAsia" w:ascii="宋体" w:hAnsi="宋体"/>
          <w:sz w:val="24"/>
          <w:szCs w:val="24"/>
        </w:rPr>
        <w:t>（1）实习单位：符合教育部、国家卫生和计划生育委员会等部门颁发的文件要求，包括二级甲等及以上的综合性医院和有一定规模的基层医疗卫生服务机构，有专门的实习管理部门和管理人员，制度健全，管理规范。</w:t>
      </w:r>
    </w:p>
    <w:p>
      <w:pPr>
        <w:spacing w:line="360" w:lineRule="auto"/>
        <w:ind w:firstLine="480" w:firstLineChars="200"/>
        <w:outlineLvl w:val="0"/>
        <w:rPr>
          <w:rFonts w:ascii="宋体" w:hAnsi="宋体"/>
          <w:sz w:val="24"/>
          <w:szCs w:val="24"/>
        </w:rPr>
      </w:pPr>
      <w:r>
        <w:rPr>
          <w:rFonts w:hint="eastAsia" w:ascii="宋体" w:hAnsi="宋体"/>
          <w:sz w:val="24"/>
          <w:szCs w:val="24"/>
        </w:rPr>
        <w:t>（2）设施条件：实习单位科室分类齐全，各种医疗设备、教学设备和技能培训中心等能满足临床教学需要，实习教学的床位数不低于接纳本专业实习生总数量的5倍，具备示教室、学生自习室等专门的临床教学场所，具备满足临床实践教学需要的图书资料和网络信息资源。</w:t>
      </w:r>
    </w:p>
    <w:p>
      <w:pPr>
        <w:spacing w:line="360" w:lineRule="auto"/>
        <w:ind w:firstLine="480" w:firstLineChars="200"/>
        <w:outlineLvl w:val="0"/>
        <w:rPr>
          <w:rFonts w:ascii="宋体" w:hAnsi="宋体"/>
          <w:sz w:val="24"/>
          <w:szCs w:val="24"/>
        </w:rPr>
      </w:pPr>
      <w:r>
        <w:rPr>
          <w:rFonts w:hint="eastAsia" w:ascii="宋体" w:hAnsi="宋体"/>
          <w:sz w:val="24"/>
          <w:szCs w:val="24"/>
        </w:rPr>
        <w:t>（3）实习带教人员（指导教师）：具有行业执业资格、中级或以上专业技术职称、5年以上本专业工作经历，具有扎实的专业知识、较强的专业技能和良好的带教意识，经过相应的兼职教师培训，能按实习计划（大纲）为实习生讲授专业理论知识、训练专业技能、培育职业素养、指导临床实践、评估实习效果、鉴定实习成绩，检查督促学生完成各项实习任务。</w:t>
      </w:r>
    </w:p>
    <w:p>
      <w:pPr>
        <w:spacing w:line="360" w:lineRule="auto"/>
        <w:ind w:firstLine="482" w:firstLineChars="200"/>
        <w:outlineLvl w:val="0"/>
        <w:rPr>
          <w:rFonts w:ascii="宋体" w:hAnsi="宋体"/>
          <w:b/>
          <w:sz w:val="24"/>
          <w:szCs w:val="24"/>
        </w:rPr>
      </w:pPr>
      <w:r>
        <w:rPr>
          <w:rFonts w:hint="eastAsia" w:ascii="宋体" w:hAnsi="宋体"/>
          <w:b/>
          <w:sz w:val="24"/>
          <w:szCs w:val="24"/>
        </w:rPr>
        <w:t>3.实习带教要求</w:t>
      </w:r>
    </w:p>
    <w:p>
      <w:pPr>
        <w:spacing w:line="360" w:lineRule="auto"/>
        <w:ind w:firstLine="480" w:firstLineChars="200"/>
        <w:outlineLvl w:val="0"/>
        <w:rPr>
          <w:rFonts w:ascii="宋体" w:hAnsi="宋体"/>
          <w:sz w:val="24"/>
          <w:szCs w:val="24"/>
        </w:rPr>
      </w:pPr>
      <w:r>
        <w:rPr>
          <w:rFonts w:hint="eastAsia" w:ascii="宋体" w:hAnsi="宋体"/>
          <w:sz w:val="24"/>
          <w:szCs w:val="24"/>
        </w:rPr>
        <w:t>（1）加强对实习生的领导和政治思想教育，组织学生参加医院科室政治学习和党团活动，培养学生树立科学的世界观、人生观和正确的职业价值观，培养良好的职业素质。</w:t>
      </w:r>
    </w:p>
    <w:p>
      <w:pPr>
        <w:spacing w:line="360" w:lineRule="auto"/>
        <w:ind w:firstLine="480" w:firstLineChars="200"/>
        <w:outlineLvl w:val="0"/>
        <w:rPr>
          <w:rFonts w:ascii="宋体" w:hAnsi="宋体"/>
          <w:sz w:val="24"/>
          <w:szCs w:val="24"/>
        </w:rPr>
      </w:pPr>
      <w:r>
        <w:rPr>
          <w:rFonts w:hint="eastAsia" w:ascii="宋体" w:hAnsi="宋体"/>
          <w:sz w:val="24"/>
          <w:szCs w:val="24"/>
        </w:rPr>
        <w:t>（2）在业务上做到对实习生严格要求、严格训练、逐步放手，带教老师应按照实习计划和实习大纲的内容与要求，具体指导实习生毕业实习，负责考核实习生的理论知识、技能操作、服务态度等达标情况，以及理论联系实际的能力与工作的表现。</w:t>
      </w:r>
    </w:p>
    <w:p>
      <w:pPr>
        <w:spacing w:line="360" w:lineRule="auto"/>
        <w:ind w:firstLine="480" w:firstLineChars="200"/>
        <w:outlineLvl w:val="0"/>
        <w:rPr>
          <w:rFonts w:ascii="宋体" w:hAnsi="宋体"/>
          <w:sz w:val="24"/>
          <w:szCs w:val="24"/>
        </w:rPr>
      </w:pPr>
      <w:r>
        <w:rPr>
          <w:rFonts w:hint="eastAsia" w:ascii="宋体" w:hAnsi="宋体"/>
          <w:sz w:val="24"/>
          <w:szCs w:val="24"/>
        </w:rPr>
        <w:t>（3）督促实习生在各科室实习结束时，认真写好实习小结，请带教教师对实习生的政治思想、工作作风、劳动纪律、学习态度、业务能力等写出评语。并按优秀、良好、及格、不及格四等次评定成绩，记入实习手册，实习全部结束时，医院应给予总评。</w:t>
      </w:r>
    </w:p>
    <w:p>
      <w:pPr>
        <w:spacing w:line="360" w:lineRule="auto"/>
        <w:ind w:firstLine="480" w:firstLineChars="200"/>
        <w:outlineLvl w:val="0"/>
        <w:rPr>
          <w:rFonts w:ascii="宋体" w:hAnsi="宋体"/>
          <w:sz w:val="24"/>
          <w:szCs w:val="24"/>
        </w:rPr>
      </w:pPr>
      <w:r>
        <w:rPr>
          <w:rFonts w:hint="eastAsia" w:ascii="宋体" w:hAnsi="宋体"/>
          <w:sz w:val="24"/>
          <w:szCs w:val="24"/>
        </w:rPr>
        <w:t>（4）帮助实习生解决学习、生活等问题，对实习生的生活、作息按医院的规定加强管理。</w:t>
      </w:r>
    </w:p>
    <w:p>
      <w:pPr>
        <w:spacing w:line="360" w:lineRule="auto"/>
        <w:ind w:firstLine="482" w:firstLineChars="200"/>
        <w:outlineLvl w:val="0"/>
        <w:rPr>
          <w:rFonts w:ascii="宋体" w:hAnsi="宋体"/>
          <w:b/>
          <w:sz w:val="24"/>
          <w:szCs w:val="24"/>
        </w:rPr>
      </w:pPr>
      <w:r>
        <w:rPr>
          <w:rFonts w:hint="eastAsia" w:ascii="宋体" w:hAnsi="宋体"/>
          <w:b/>
          <w:sz w:val="24"/>
          <w:szCs w:val="24"/>
        </w:rPr>
        <w:t>4.实习组织管理</w:t>
      </w:r>
    </w:p>
    <w:p>
      <w:pPr>
        <w:spacing w:line="360" w:lineRule="auto"/>
        <w:ind w:firstLine="480" w:firstLineChars="200"/>
        <w:outlineLvl w:val="0"/>
        <w:rPr>
          <w:rFonts w:ascii="宋体" w:hAnsi="宋体"/>
          <w:sz w:val="24"/>
          <w:szCs w:val="24"/>
        </w:rPr>
      </w:pPr>
      <w:r>
        <w:rPr>
          <w:rFonts w:hint="eastAsia" w:ascii="宋体" w:hAnsi="宋体"/>
          <w:sz w:val="24"/>
          <w:szCs w:val="24"/>
        </w:rPr>
        <w:t>（1）实习管理制度：包括学校、实习医院和实习科室的实习管理制度。</w:t>
      </w:r>
    </w:p>
    <w:p>
      <w:pPr>
        <w:spacing w:line="360" w:lineRule="auto"/>
        <w:ind w:firstLine="480" w:firstLineChars="200"/>
        <w:outlineLvl w:val="0"/>
        <w:rPr>
          <w:rFonts w:ascii="宋体" w:hAnsi="宋体"/>
          <w:sz w:val="24"/>
          <w:szCs w:val="24"/>
        </w:rPr>
      </w:pPr>
      <w:r>
        <w:rPr>
          <w:rFonts w:hint="eastAsia" w:ascii="宋体" w:hAnsi="宋体"/>
          <w:sz w:val="24"/>
          <w:szCs w:val="24"/>
        </w:rPr>
        <w:t>（2）实习生在医院党政领导、科教科和科主任的直接领导下进行毕业实习。学生毕业实习期间，严格执行学院、医院双重管理体制，建立“主管院长——实习就业处长/科教科科长——班主任/带教老师——学生实习组长”四级监管网络。医院科教科安排专人具体负责实习生的政治思想、专业实习和生活安排，做到思想上有人抓，业务上有人教，生活上有人管。</w:t>
      </w:r>
    </w:p>
    <w:p>
      <w:pPr>
        <w:spacing w:line="360" w:lineRule="auto"/>
        <w:ind w:firstLine="480" w:firstLineChars="200"/>
        <w:outlineLvl w:val="0"/>
        <w:rPr>
          <w:rFonts w:ascii="宋体" w:hAnsi="宋体"/>
          <w:sz w:val="24"/>
          <w:szCs w:val="24"/>
        </w:rPr>
      </w:pPr>
      <w:r>
        <w:rPr>
          <w:rFonts w:hint="eastAsia" w:ascii="宋体" w:hAnsi="宋体"/>
          <w:sz w:val="24"/>
          <w:szCs w:val="24"/>
        </w:rPr>
        <w:t>（3）实习生以医院为单位组成实习小组，设正、副组长各一人，在医院科教科的指导下，负责本组同学的学习、实习、出勤和生活管理等组织及协调工作。</w:t>
      </w:r>
    </w:p>
    <w:p>
      <w:pPr>
        <w:spacing w:line="360" w:lineRule="auto"/>
        <w:ind w:firstLine="480" w:firstLineChars="200"/>
        <w:outlineLvl w:val="0"/>
        <w:rPr>
          <w:rFonts w:ascii="宋体" w:hAnsi="宋体"/>
          <w:sz w:val="24"/>
          <w:szCs w:val="24"/>
        </w:rPr>
      </w:pPr>
      <w:r>
        <w:rPr>
          <w:rFonts w:hint="eastAsia" w:ascii="宋体" w:hAnsi="宋体"/>
          <w:sz w:val="24"/>
          <w:szCs w:val="24"/>
        </w:rPr>
        <w:t>（4）实习就业处全面负责管理安排毕业实习，定期派人到实习医院了解实习生实习情况，总结经验，发现问题及时与医院领导和科室共同协商解决，保证毕业实习顺利进行。</w:t>
      </w:r>
    </w:p>
    <w:p>
      <w:pPr>
        <w:spacing w:line="360" w:lineRule="auto"/>
        <w:ind w:firstLine="482" w:firstLineChars="200"/>
        <w:jc w:val="left"/>
        <w:outlineLvl w:val="0"/>
        <w:rPr>
          <w:rFonts w:ascii="宋体" w:hAnsi="宋体"/>
          <w:b/>
          <w:sz w:val="24"/>
          <w:szCs w:val="24"/>
        </w:rPr>
      </w:pPr>
      <w:r>
        <w:rPr>
          <w:rFonts w:hint="eastAsia" w:ascii="宋体" w:hAnsi="宋体"/>
          <w:b/>
          <w:sz w:val="24"/>
          <w:szCs w:val="24"/>
        </w:rPr>
        <w:t>5.实习岗位、时间、内容</w:t>
      </w:r>
    </w:p>
    <w:p>
      <w:pPr>
        <w:spacing w:line="360" w:lineRule="auto"/>
        <w:ind w:firstLine="480" w:firstLineChars="200"/>
        <w:jc w:val="left"/>
        <w:outlineLvl w:val="0"/>
        <w:rPr>
          <w:rFonts w:ascii="宋体" w:hAnsi="宋体"/>
          <w:sz w:val="24"/>
          <w:szCs w:val="24"/>
        </w:rPr>
      </w:pPr>
      <w:r>
        <w:rPr>
          <w:rFonts w:hint="eastAsia" w:ascii="宋体" w:hAnsi="宋体"/>
          <w:sz w:val="24"/>
          <w:szCs w:val="24"/>
        </w:rPr>
        <w:t xml:space="preserve">毕业实习安排在第三学年，实习时间为24周。综合性医院的实习岗位应包括内科、外科、妇产科、儿科、急诊科、感染科、五官科的门诊和病房，基层医疗卫生机构的实习岗位必须包括基本医疗和基本公共卫生服务等。学生在实习单位不同科室按计划轮转，各科室根据情况安排门诊、病房、检查室、治疗室等岗位的实习时间。实习科室、时间、内容详见表8。 </w:t>
      </w:r>
    </w:p>
    <w:p>
      <w:pPr>
        <w:spacing w:line="360" w:lineRule="auto"/>
        <w:jc w:val="center"/>
        <w:outlineLvl w:val="0"/>
        <w:rPr>
          <w:rFonts w:ascii="宋体" w:hAnsi="宋体"/>
          <w:b/>
          <w:szCs w:val="21"/>
        </w:rPr>
      </w:pPr>
      <w:r>
        <w:rPr>
          <w:rFonts w:hint="eastAsia" w:ascii="宋体" w:hAnsi="宋体"/>
          <w:b/>
          <w:szCs w:val="21"/>
        </w:rPr>
        <w:t>表8  临床医学专业毕业实习科室、时间、内容</w:t>
      </w:r>
    </w:p>
    <w:tbl>
      <w:tblPr>
        <w:tblStyle w:val="1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6"/>
        <w:gridCol w:w="1276"/>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17" w:type="dxa"/>
            <w:shd w:val="clear" w:color="auto" w:fill="92D050"/>
          </w:tcPr>
          <w:p>
            <w:pPr>
              <w:spacing w:line="360" w:lineRule="auto"/>
              <w:jc w:val="center"/>
              <w:outlineLvl w:val="0"/>
              <w:rPr>
                <w:rFonts w:ascii="宋体" w:hAnsi="宋体"/>
                <w:szCs w:val="21"/>
              </w:rPr>
            </w:pPr>
            <w:r>
              <w:rPr>
                <w:rFonts w:hint="eastAsia" w:ascii="宋体" w:hAnsi="宋体"/>
                <w:szCs w:val="21"/>
              </w:rPr>
              <w:t>序号</w:t>
            </w:r>
          </w:p>
        </w:tc>
        <w:tc>
          <w:tcPr>
            <w:tcW w:w="1276" w:type="dxa"/>
            <w:shd w:val="clear" w:color="auto" w:fill="92D050"/>
          </w:tcPr>
          <w:p>
            <w:pPr>
              <w:spacing w:line="360" w:lineRule="auto"/>
              <w:jc w:val="center"/>
              <w:outlineLvl w:val="0"/>
              <w:rPr>
                <w:rFonts w:ascii="宋体" w:hAnsi="宋体"/>
                <w:szCs w:val="21"/>
              </w:rPr>
            </w:pPr>
            <w:r>
              <w:rPr>
                <w:rFonts w:hint="eastAsia" w:ascii="宋体" w:hAnsi="宋体"/>
                <w:szCs w:val="21"/>
              </w:rPr>
              <w:t>实习科室</w:t>
            </w:r>
          </w:p>
        </w:tc>
        <w:tc>
          <w:tcPr>
            <w:tcW w:w="1276" w:type="dxa"/>
            <w:shd w:val="clear" w:color="auto" w:fill="92D050"/>
          </w:tcPr>
          <w:p>
            <w:pPr>
              <w:spacing w:line="360" w:lineRule="auto"/>
              <w:jc w:val="center"/>
              <w:outlineLvl w:val="0"/>
              <w:rPr>
                <w:rFonts w:ascii="宋体" w:hAnsi="宋体"/>
                <w:szCs w:val="21"/>
              </w:rPr>
            </w:pPr>
            <w:r>
              <w:rPr>
                <w:rFonts w:hint="eastAsia" w:ascii="宋体" w:hAnsi="宋体"/>
                <w:szCs w:val="21"/>
              </w:rPr>
              <w:t>实习时间</w:t>
            </w:r>
          </w:p>
        </w:tc>
        <w:tc>
          <w:tcPr>
            <w:tcW w:w="6520" w:type="dxa"/>
            <w:shd w:val="clear" w:color="auto" w:fill="92D050"/>
          </w:tcPr>
          <w:p>
            <w:pPr>
              <w:spacing w:line="360" w:lineRule="auto"/>
              <w:jc w:val="center"/>
              <w:outlineLvl w:val="0"/>
              <w:rPr>
                <w:rFonts w:ascii="宋体" w:hAnsi="宋体"/>
                <w:szCs w:val="21"/>
              </w:rPr>
            </w:pPr>
            <w:r>
              <w:rPr>
                <w:rFonts w:hint="eastAsia" w:ascii="宋体" w:hAnsi="宋体"/>
                <w:szCs w:val="21"/>
              </w:rPr>
              <w:t>基本实习内容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outlineLvl w:val="0"/>
              <w:rPr>
                <w:rFonts w:ascii="宋体" w:hAnsi="宋体"/>
                <w:szCs w:val="21"/>
              </w:rPr>
            </w:pPr>
            <w:r>
              <w:rPr>
                <w:rFonts w:hint="eastAsia" w:ascii="宋体" w:hAnsi="宋体"/>
                <w:szCs w:val="21"/>
              </w:rPr>
              <w:t>1</w:t>
            </w:r>
          </w:p>
        </w:tc>
        <w:tc>
          <w:tcPr>
            <w:tcW w:w="1276" w:type="dxa"/>
            <w:vAlign w:val="center"/>
          </w:tcPr>
          <w:p>
            <w:pPr>
              <w:spacing w:line="360" w:lineRule="auto"/>
              <w:jc w:val="center"/>
              <w:outlineLvl w:val="0"/>
              <w:rPr>
                <w:rFonts w:ascii="宋体" w:hAnsi="宋体"/>
                <w:szCs w:val="21"/>
              </w:rPr>
            </w:pPr>
            <w:r>
              <w:rPr>
                <w:rFonts w:hint="eastAsia" w:ascii="宋体" w:hAnsi="宋体"/>
                <w:szCs w:val="21"/>
              </w:rPr>
              <w:t>内科</w:t>
            </w:r>
          </w:p>
        </w:tc>
        <w:tc>
          <w:tcPr>
            <w:tcW w:w="1276" w:type="dxa"/>
            <w:vAlign w:val="center"/>
          </w:tcPr>
          <w:p>
            <w:pPr>
              <w:spacing w:line="360" w:lineRule="auto"/>
              <w:jc w:val="center"/>
              <w:outlineLvl w:val="0"/>
              <w:rPr>
                <w:rFonts w:ascii="宋体" w:hAnsi="宋体"/>
                <w:szCs w:val="21"/>
              </w:rPr>
            </w:pPr>
            <w:r>
              <w:rPr>
                <w:rFonts w:hint="eastAsia" w:ascii="宋体" w:hAnsi="宋体"/>
                <w:szCs w:val="21"/>
              </w:rPr>
              <w:t>10周</w:t>
            </w:r>
          </w:p>
        </w:tc>
        <w:tc>
          <w:tcPr>
            <w:tcW w:w="6520" w:type="dxa"/>
            <w:vAlign w:val="center"/>
          </w:tcPr>
          <w:p>
            <w:pPr>
              <w:spacing w:line="360" w:lineRule="auto"/>
              <w:outlineLvl w:val="0"/>
              <w:rPr>
                <w:rFonts w:ascii="宋体" w:hAnsi="宋体"/>
                <w:szCs w:val="21"/>
              </w:rPr>
            </w:pPr>
            <w:r>
              <w:rPr>
                <w:rFonts w:hint="eastAsia" w:ascii="宋体" w:hAnsi="宋体"/>
                <w:szCs w:val="21"/>
              </w:rPr>
              <w:t>呼吸、循环、消化、泌尿、神经、内分泌、血液等系统主要内科疾病的诊疗，内科基本技能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outlineLvl w:val="0"/>
              <w:rPr>
                <w:rFonts w:ascii="宋体" w:hAnsi="宋体"/>
                <w:szCs w:val="21"/>
              </w:rPr>
            </w:pPr>
            <w:r>
              <w:rPr>
                <w:rFonts w:hint="eastAsia" w:ascii="宋体" w:hAnsi="宋体"/>
                <w:szCs w:val="21"/>
              </w:rPr>
              <w:t>2</w:t>
            </w:r>
          </w:p>
        </w:tc>
        <w:tc>
          <w:tcPr>
            <w:tcW w:w="1276" w:type="dxa"/>
            <w:vAlign w:val="center"/>
          </w:tcPr>
          <w:p>
            <w:pPr>
              <w:spacing w:line="360" w:lineRule="auto"/>
              <w:jc w:val="center"/>
              <w:outlineLvl w:val="0"/>
              <w:rPr>
                <w:rFonts w:ascii="宋体" w:hAnsi="宋体"/>
                <w:szCs w:val="21"/>
              </w:rPr>
            </w:pPr>
            <w:r>
              <w:rPr>
                <w:rFonts w:hint="eastAsia" w:ascii="宋体" w:hAnsi="宋体"/>
                <w:szCs w:val="21"/>
              </w:rPr>
              <w:t>外科</w:t>
            </w:r>
          </w:p>
        </w:tc>
        <w:tc>
          <w:tcPr>
            <w:tcW w:w="1276" w:type="dxa"/>
            <w:vAlign w:val="center"/>
          </w:tcPr>
          <w:p>
            <w:pPr>
              <w:spacing w:line="360" w:lineRule="auto"/>
              <w:jc w:val="center"/>
              <w:outlineLvl w:val="0"/>
              <w:rPr>
                <w:rFonts w:ascii="宋体" w:hAnsi="宋体"/>
                <w:szCs w:val="21"/>
              </w:rPr>
            </w:pPr>
            <w:r>
              <w:rPr>
                <w:rFonts w:hint="eastAsia" w:ascii="宋体" w:hAnsi="宋体"/>
                <w:szCs w:val="21"/>
              </w:rPr>
              <w:t>6周</w:t>
            </w:r>
          </w:p>
        </w:tc>
        <w:tc>
          <w:tcPr>
            <w:tcW w:w="6520" w:type="dxa"/>
            <w:vAlign w:val="center"/>
          </w:tcPr>
          <w:p>
            <w:pPr>
              <w:spacing w:line="360" w:lineRule="auto"/>
              <w:outlineLvl w:val="0"/>
              <w:rPr>
                <w:rFonts w:ascii="宋体" w:hAnsi="宋体"/>
                <w:szCs w:val="21"/>
              </w:rPr>
            </w:pPr>
            <w:r>
              <w:rPr>
                <w:rFonts w:hint="eastAsia" w:ascii="宋体" w:hAnsi="宋体"/>
                <w:szCs w:val="21"/>
              </w:rPr>
              <w:t>神经外科、普通外科、胸外科、骨科、泌尿外科等常见疾病和外伤的诊疗，外科基本技能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outlineLvl w:val="0"/>
              <w:rPr>
                <w:rFonts w:ascii="宋体" w:hAnsi="宋体"/>
                <w:szCs w:val="21"/>
              </w:rPr>
            </w:pPr>
            <w:r>
              <w:rPr>
                <w:rFonts w:hint="eastAsia" w:ascii="宋体" w:hAnsi="宋体"/>
                <w:szCs w:val="21"/>
              </w:rPr>
              <w:t>3</w:t>
            </w:r>
          </w:p>
        </w:tc>
        <w:tc>
          <w:tcPr>
            <w:tcW w:w="1276" w:type="dxa"/>
            <w:vAlign w:val="center"/>
          </w:tcPr>
          <w:p>
            <w:pPr>
              <w:spacing w:line="360" w:lineRule="auto"/>
              <w:jc w:val="center"/>
              <w:outlineLvl w:val="0"/>
              <w:rPr>
                <w:rFonts w:ascii="宋体" w:hAnsi="宋体"/>
                <w:szCs w:val="21"/>
              </w:rPr>
            </w:pPr>
            <w:r>
              <w:rPr>
                <w:rFonts w:hint="eastAsia" w:ascii="宋体" w:hAnsi="宋体"/>
                <w:szCs w:val="21"/>
              </w:rPr>
              <w:t>妇产科</w:t>
            </w:r>
          </w:p>
        </w:tc>
        <w:tc>
          <w:tcPr>
            <w:tcW w:w="1276" w:type="dxa"/>
            <w:vAlign w:val="center"/>
          </w:tcPr>
          <w:p>
            <w:pPr>
              <w:spacing w:line="360" w:lineRule="auto"/>
              <w:jc w:val="center"/>
              <w:outlineLvl w:val="0"/>
              <w:rPr>
                <w:rFonts w:ascii="宋体" w:hAnsi="宋体"/>
                <w:szCs w:val="21"/>
              </w:rPr>
            </w:pPr>
            <w:r>
              <w:rPr>
                <w:rFonts w:hint="eastAsia" w:ascii="宋体" w:hAnsi="宋体"/>
                <w:szCs w:val="21"/>
              </w:rPr>
              <w:t>2周</w:t>
            </w:r>
          </w:p>
        </w:tc>
        <w:tc>
          <w:tcPr>
            <w:tcW w:w="6520" w:type="dxa"/>
            <w:vAlign w:val="center"/>
          </w:tcPr>
          <w:p>
            <w:pPr>
              <w:spacing w:line="360" w:lineRule="auto"/>
              <w:outlineLvl w:val="0"/>
              <w:rPr>
                <w:rFonts w:ascii="宋体" w:hAnsi="宋体"/>
                <w:szCs w:val="21"/>
              </w:rPr>
            </w:pPr>
            <w:r>
              <w:rPr>
                <w:rFonts w:hint="eastAsia" w:ascii="宋体" w:hAnsi="宋体"/>
                <w:szCs w:val="21"/>
              </w:rPr>
              <w:t>生理产科、病理妊娠、妊娠合并症、分娩并发症、女性生殖系统炎症、肿瘤等疾病诊诊疗，妇产科基本技能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outlineLvl w:val="0"/>
              <w:rPr>
                <w:rFonts w:ascii="宋体" w:hAnsi="宋体"/>
                <w:szCs w:val="21"/>
              </w:rPr>
            </w:pPr>
            <w:r>
              <w:rPr>
                <w:rFonts w:hint="eastAsia" w:ascii="宋体" w:hAnsi="宋体"/>
                <w:szCs w:val="21"/>
              </w:rPr>
              <w:t>4</w:t>
            </w:r>
          </w:p>
        </w:tc>
        <w:tc>
          <w:tcPr>
            <w:tcW w:w="1276" w:type="dxa"/>
            <w:vAlign w:val="center"/>
          </w:tcPr>
          <w:p>
            <w:pPr>
              <w:spacing w:line="360" w:lineRule="auto"/>
              <w:jc w:val="center"/>
              <w:outlineLvl w:val="0"/>
              <w:rPr>
                <w:rFonts w:ascii="宋体" w:hAnsi="宋体"/>
                <w:szCs w:val="21"/>
              </w:rPr>
            </w:pPr>
            <w:r>
              <w:rPr>
                <w:rFonts w:hint="eastAsia" w:ascii="宋体" w:hAnsi="宋体"/>
                <w:szCs w:val="21"/>
              </w:rPr>
              <w:t>儿科</w:t>
            </w:r>
          </w:p>
        </w:tc>
        <w:tc>
          <w:tcPr>
            <w:tcW w:w="1276" w:type="dxa"/>
            <w:vAlign w:val="center"/>
          </w:tcPr>
          <w:p>
            <w:pPr>
              <w:spacing w:line="360" w:lineRule="auto"/>
              <w:jc w:val="center"/>
              <w:outlineLvl w:val="0"/>
              <w:rPr>
                <w:rFonts w:ascii="宋体" w:hAnsi="宋体"/>
                <w:szCs w:val="21"/>
              </w:rPr>
            </w:pPr>
            <w:r>
              <w:rPr>
                <w:rFonts w:hint="eastAsia" w:ascii="宋体" w:hAnsi="宋体"/>
                <w:szCs w:val="21"/>
              </w:rPr>
              <w:t>2周</w:t>
            </w:r>
          </w:p>
        </w:tc>
        <w:tc>
          <w:tcPr>
            <w:tcW w:w="6520" w:type="dxa"/>
            <w:vAlign w:val="center"/>
          </w:tcPr>
          <w:p>
            <w:pPr>
              <w:spacing w:line="360" w:lineRule="auto"/>
              <w:outlineLvl w:val="0"/>
              <w:rPr>
                <w:rFonts w:ascii="宋体" w:hAnsi="宋体"/>
                <w:szCs w:val="21"/>
              </w:rPr>
            </w:pPr>
            <w:r>
              <w:rPr>
                <w:rFonts w:hint="eastAsia" w:ascii="宋体" w:hAnsi="宋体"/>
                <w:szCs w:val="21"/>
              </w:rPr>
              <w:t>新生儿、儿童营养障碍、呼吸、循环、消化、泌尿、神经、血液等系统常见病的诊疗，儿科基本技能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outlineLvl w:val="0"/>
              <w:rPr>
                <w:rFonts w:ascii="宋体" w:hAnsi="宋体"/>
                <w:szCs w:val="21"/>
              </w:rPr>
            </w:pPr>
            <w:r>
              <w:rPr>
                <w:rFonts w:hint="eastAsia" w:ascii="宋体" w:hAnsi="宋体"/>
                <w:szCs w:val="21"/>
              </w:rPr>
              <w:t>5</w:t>
            </w:r>
          </w:p>
        </w:tc>
        <w:tc>
          <w:tcPr>
            <w:tcW w:w="1276" w:type="dxa"/>
            <w:vAlign w:val="center"/>
          </w:tcPr>
          <w:p>
            <w:pPr>
              <w:spacing w:line="360" w:lineRule="auto"/>
              <w:jc w:val="center"/>
              <w:outlineLvl w:val="0"/>
              <w:rPr>
                <w:rFonts w:ascii="宋体" w:hAnsi="宋体"/>
                <w:szCs w:val="21"/>
              </w:rPr>
            </w:pPr>
            <w:r>
              <w:rPr>
                <w:rFonts w:hint="eastAsia" w:ascii="宋体" w:hAnsi="宋体"/>
                <w:szCs w:val="21"/>
              </w:rPr>
              <w:t>急诊科</w:t>
            </w:r>
          </w:p>
        </w:tc>
        <w:tc>
          <w:tcPr>
            <w:tcW w:w="1276" w:type="dxa"/>
            <w:vAlign w:val="center"/>
          </w:tcPr>
          <w:p>
            <w:pPr>
              <w:spacing w:line="360" w:lineRule="auto"/>
              <w:jc w:val="center"/>
              <w:outlineLvl w:val="0"/>
              <w:rPr>
                <w:rFonts w:ascii="宋体" w:hAnsi="宋体"/>
                <w:szCs w:val="21"/>
              </w:rPr>
            </w:pPr>
            <w:r>
              <w:rPr>
                <w:rFonts w:hint="eastAsia" w:ascii="宋体" w:hAnsi="宋体"/>
                <w:szCs w:val="21"/>
              </w:rPr>
              <w:t>1周</w:t>
            </w:r>
          </w:p>
        </w:tc>
        <w:tc>
          <w:tcPr>
            <w:tcW w:w="6520" w:type="dxa"/>
            <w:vAlign w:val="center"/>
          </w:tcPr>
          <w:p>
            <w:pPr>
              <w:spacing w:line="360" w:lineRule="auto"/>
              <w:outlineLvl w:val="0"/>
              <w:rPr>
                <w:rFonts w:ascii="宋体" w:hAnsi="宋体"/>
                <w:szCs w:val="21"/>
              </w:rPr>
            </w:pPr>
            <w:r>
              <w:rPr>
                <w:rFonts w:hint="eastAsia" w:ascii="宋体" w:hAnsi="宋体"/>
                <w:szCs w:val="21"/>
              </w:rPr>
              <w:t>心脏骤停、急性气道梗阻、急性中毒、创伤等主要疾病的初步诊断和急救处理，急诊急救基本技能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outlineLvl w:val="0"/>
              <w:rPr>
                <w:rFonts w:ascii="宋体" w:hAnsi="宋体"/>
                <w:szCs w:val="21"/>
              </w:rPr>
            </w:pPr>
            <w:r>
              <w:rPr>
                <w:rFonts w:hint="eastAsia" w:ascii="宋体" w:hAnsi="宋体"/>
                <w:szCs w:val="21"/>
              </w:rPr>
              <w:t>6</w:t>
            </w:r>
          </w:p>
        </w:tc>
        <w:tc>
          <w:tcPr>
            <w:tcW w:w="1276" w:type="dxa"/>
            <w:vAlign w:val="center"/>
          </w:tcPr>
          <w:p>
            <w:pPr>
              <w:spacing w:line="360" w:lineRule="auto"/>
              <w:jc w:val="center"/>
              <w:outlineLvl w:val="0"/>
              <w:rPr>
                <w:rFonts w:ascii="宋体" w:hAnsi="宋体"/>
                <w:szCs w:val="21"/>
              </w:rPr>
            </w:pPr>
            <w:r>
              <w:rPr>
                <w:rFonts w:hint="eastAsia" w:ascii="宋体" w:hAnsi="宋体"/>
                <w:szCs w:val="21"/>
              </w:rPr>
              <w:t>感染科</w:t>
            </w:r>
          </w:p>
        </w:tc>
        <w:tc>
          <w:tcPr>
            <w:tcW w:w="1276" w:type="dxa"/>
            <w:vAlign w:val="center"/>
          </w:tcPr>
          <w:p>
            <w:pPr>
              <w:spacing w:line="360" w:lineRule="auto"/>
              <w:jc w:val="center"/>
              <w:outlineLvl w:val="0"/>
              <w:rPr>
                <w:rFonts w:ascii="宋体" w:hAnsi="宋体"/>
                <w:szCs w:val="21"/>
              </w:rPr>
            </w:pPr>
            <w:r>
              <w:rPr>
                <w:rFonts w:hint="eastAsia" w:ascii="宋体" w:hAnsi="宋体"/>
                <w:szCs w:val="21"/>
              </w:rPr>
              <w:t>1周</w:t>
            </w:r>
          </w:p>
        </w:tc>
        <w:tc>
          <w:tcPr>
            <w:tcW w:w="6520" w:type="dxa"/>
            <w:vAlign w:val="center"/>
          </w:tcPr>
          <w:p>
            <w:pPr>
              <w:spacing w:line="360" w:lineRule="auto"/>
              <w:outlineLvl w:val="0"/>
              <w:rPr>
                <w:rFonts w:ascii="宋体" w:hAnsi="宋体"/>
                <w:szCs w:val="21"/>
              </w:rPr>
            </w:pPr>
            <w:r>
              <w:rPr>
                <w:rFonts w:hint="eastAsia" w:ascii="宋体" w:hAnsi="宋体"/>
                <w:szCs w:val="21"/>
              </w:rPr>
              <w:t>病毒性肝炎、麻疹、肾综合征出血热、流行性乙型脑炎、手足口病等主要感染病及其他突发感染病的诊疗、隔离和上报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outlineLvl w:val="0"/>
              <w:rPr>
                <w:rFonts w:ascii="宋体" w:hAnsi="宋体"/>
                <w:szCs w:val="21"/>
              </w:rPr>
            </w:pPr>
            <w:r>
              <w:rPr>
                <w:rFonts w:hint="eastAsia" w:ascii="宋体" w:hAnsi="宋体"/>
                <w:szCs w:val="21"/>
              </w:rPr>
              <w:t>7</w:t>
            </w:r>
          </w:p>
        </w:tc>
        <w:tc>
          <w:tcPr>
            <w:tcW w:w="1276" w:type="dxa"/>
            <w:vAlign w:val="center"/>
          </w:tcPr>
          <w:p>
            <w:pPr>
              <w:spacing w:line="360" w:lineRule="auto"/>
              <w:jc w:val="center"/>
              <w:outlineLvl w:val="0"/>
              <w:rPr>
                <w:rFonts w:ascii="宋体" w:hAnsi="宋体"/>
                <w:szCs w:val="21"/>
              </w:rPr>
            </w:pPr>
            <w:r>
              <w:rPr>
                <w:rFonts w:hint="eastAsia" w:ascii="宋体" w:hAnsi="宋体"/>
                <w:szCs w:val="21"/>
              </w:rPr>
              <w:t>五官科</w:t>
            </w:r>
          </w:p>
        </w:tc>
        <w:tc>
          <w:tcPr>
            <w:tcW w:w="1276" w:type="dxa"/>
            <w:vAlign w:val="center"/>
          </w:tcPr>
          <w:p>
            <w:pPr>
              <w:spacing w:line="360" w:lineRule="auto"/>
              <w:jc w:val="center"/>
              <w:outlineLvl w:val="0"/>
              <w:rPr>
                <w:rFonts w:ascii="宋体" w:hAnsi="宋体"/>
                <w:szCs w:val="21"/>
              </w:rPr>
            </w:pPr>
            <w:r>
              <w:rPr>
                <w:rFonts w:hint="eastAsia" w:ascii="宋体" w:hAnsi="宋体"/>
                <w:szCs w:val="21"/>
              </w:rPr>
              <w:t>1周</w:t>
            </w:r>
          </w:p>
        </w:tc>
        <w:tc>
          <w:tcPr>
            <w:tcW w:w="6520" w:type="dxa"/>
            <w:vAlign w:val="center"/>
          </w:tcPr>
          <w:p>
            <w:pPr>
              <w:spacing w:line="360" w:lineRule="auto"/>
              <w:outlineLvl w:val="0"/>
              <w:rPr>
                <w:rFonts w:ascii="宋体" w:hAnsi="宋体"/>
                <w:szCs w:val="21"/>
              </w:rPr>
            </w:pPr>
            <w:r>
              <w:rPr>
                <w:rFonts w:hint="eastAsia" w:ascii="宋体" w:hAnsi="宋体"/>
                <w:szCs w:val="21"/>
              </w:rPr>
              <w:t>眼、耳鼻喉、口腔等主要常见疾病的诊疗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outlineLvl w:val="0"/>
              <w:rPr>
                <w:rFonts w:ascii="宋体" w:hAnsi="宋体"/>
                <w:szCs w:val="21"/>
              </w:rPr>
            </w:pPr>
            <w:r>
              <w:rPr>
                <w:rFonts w:hint="eastAsia" w:ascii="宋体" w:hAnsi="宋体"/>
                <w:szCs w:val="21"/>
              </w:rPr>
              <w:t>8</w:t>
            </w:r>
          </w:p>
        </w:tc>
        <w:tc>
          <w:tcPr>
            <w:tcW w:w="1276" w:type="dxa"/>
            <w:vAlign w:val="center"/>
          </w:tcPr>
          <w:p>
            <w:pPr>
              <w:spacing w:line="360" w:lineRule="auto"/>
              <w:jc w:val="center"/>
              <w:outlineLvl w:val="0"/>
              <w:rPr>
                <w:rFonts w:ascii="宋体" w:hAnsi="宋体"/>
                <w:szCs w:val="21"/>
              </w:rPr>
            </w:pPr>
            <w:r>
              <w:rPr>
                <w:rFonts w:hint="eastAsia" w:ascii="宋体" w:hAnsi="宋体"/>
                <w:szCs w:val="21"/>
              </w:rPr>
              <w:t>基层医疗卫生机构</w:t>
            </w:r>
          </w:p>
        </w:tc>
        <w:tc>
          <w:tcPr>
            <w:tcW w:w="1276" w:type="dxa"/>
            <w:vAlign w:val="center"/>
          </w:tcPr>
          <w:p>
            <w:pPr>
              <w:spacing w:line="360" w:lineRule="auto"/>
              <w:jc w:val="center"/>
              <w:outlineLvl w:val="0"/>
              <w:rPr>
                <w:rFonts w:ascii="宋体" w:hAnsi="宋体"/>
                <w:szCs w:val="21"/>
              </w:rPr>
            </w:pPr>
            <w:r>
              <w:rPr>
                <w:rFonts w:hint="eastAsia" w:ascii="宋体" w:hAnsi="宋体"/>
                <w:szCs w:val="21"/>
              </w:rPr>
              <w:t>1周</w:t>
            </w:r>
          </w:p>
        </w:tc>
        <w:tc>
          <w:tcPr>
            <w:tcW w:w="6520" w:type="dxa"/>
            <w:vAlign w:val="center"/>
          </w:tcPr>
          <w:p>
            <w:pPr>
              <w:spacing w:line="360" w:lineRule="auto"/>
              <w:outlineLvl w:val="0"/>
              <w:rPr>
                <w:rFonts w:ascii="宋体" w:hAnsi="宋体"/>
                <w:szCs w:val="21"/>
              </w:rPr>
            </w:pPr>
            <w:r>
              <w:rPr>
                <w:rFonts w:hint="eastAsia" w:ascii="宋体" w:hAnsi="宋体"/>
                <w:szCs w:val="21"/>
              </w:rPr>
              <w:t>基层常见病的诊疗，残疾人、慢性病等病人的康复、护理，基本公共卫生服务等</w:t>
            </w:r>
          </w:p>
        </w:tc>
      </w:tr>
    </w:tbl>
    <w:p>
      <w:pPr>
        <w:spacing w:line="360" w:lineRule="auto"/>
        <w:ind w:firstLine="482" w:firstLineChars="200"/>
        <w:jc w:val="left"/>
        <w:rPr>
          <w:rFonts w:ascii="宋体" w:hAnsi="宋体" w:cs="华文楷体"/>
          <w:b/>
          <w:bCs/>
          <w:color w:val="000000"/>
          <w:sz w:val="24"/>
          <w:szCs w:val="24"/>
        </w:rPr>
      </w:pPr>
      <w:r>
        <w:rPr>
          <w:rFonts w:hint="eastAsia" w:ascii="宋体" w:hAnsi="宋体" w:cs="华文楷体"/>
          <w:b/>
          <w:bCs/>
          <w:color w:val="000000"/>
          <w:sz w:val="24"/>
          <w:szCs w:val="24"/>
        </w:rPr>
        <w:t>6.考核评价</w:t>
      </w:r>
    </w:p>
    <w:p>
      <w:pPr>
        <w:spacing w:line="360" w:lineRule="auto"/>
        <w:ind w:firstLine="480" w:firstLineChars="200"/>
        <w:outlineLvl w:val="0"/>
        <w:rPr>
          <w:rFonts w:ascii="宋体" w:hAnsi="宋体" w:cs="Calibri"/>
          <w:color w:val="000000"/>
          <w:sz w:val="24"/>
          <w:szCs w:val="24"/>
        </w:rPr>
      </w:pPr>
      <w:r>
        <w:rPr>
          <w:rFonts w:hint="eastAsia" w:ascii="宋体" w:hAnsi="宋体" w:cs="Calibri"/>
          <w:color w:val="000000"/>
          <w:sz w:val="24"/>
          <w:szCs w:val="24"/>
        </w:rPr>
        <w:t>（1）考核内容：包括实习行为考核、专业知识考核、实践技能考核、专业素养考核，考核内容要涵盖临床执业助理医师考试理论和实践技能考核的全部内容。</w:t>
      </w:r>
    </w:p>
    <w:p>
      <w:pPr>
        <w:spacing w:line="360" w:lineRule="auto"/>
        <w:ind w:firstLine="480" w:firstLineChars="200"/>
        <w:outlineLvl w:val="0"/>
        <w:rPr>
          <w:rFonts w:ascii="宋体" w:hAnsi="宋体" w:cs="Calibri"/>
          <w:color w:val="000000"/>
          <w:sz w:val="24"/>
          <w:szCs w:val="24"/>
        </w:rPr>
      </w:pPr>
      <w:r>
        <w:rPr>
          <w:rFonts w:hint="eastAsia" w:ascii="宋体" w:hAnsi="宋体" w:cs="Calibri"/>
          <w:color w:val="000000"/>
          <w:sz w:val="24"/>
          <w:szCs w:val="24"/>
        </w:rPr>
        <w:t>（2）考核形式：包括日常实习工作评价、专业知识笔试和技能操作考核，按实习阶段分出科考核和综合考核，出科考核包括专科出科考核和大科出科考核。</w:t>
      </w:r>
    </w:p>
    <w:p>
      <w:pPr>
        <w:spacing w:line="360" w:lineRule="auto"/>
        <w:ind w:firstLine="480" w:firstLineChars="200"/>
        <w:outlineLvl w:val="0"/>
        <w:rPr>
          <w:rFonts w:ascii="宋体" w:hAnsi="宋体" w:cs="仿宋"/>
          <w:color w:val="000000"/>
          <w:sz w:val="24"/>
          <w:szCs w:val="24"/>
        </w:rPr>
      </w:pPr>
      <w:r>
        <w:rPr>
          <w:rFonts w:hint="eastAsia" w:ascii="宋体" w:hAnsi="宋体" w:cs="Calibri"/>
          <w:color w:val="000000"/>
          <w:sz w:val="24"/>
          <w:szCs w:val="24"/>
        </w:rPr>
        <w:t>（3）成立</w:t>
      </w:r>
      <w:r>
        <w:rPr>
          <w:rFonts w:hint="eastAsia" w:ascii="宋体" w:hAnsi="宋体" w:cs="仿宋"/>
          <w:color w:val="000000"/>
          <w:sz w:val="24"/>
          <w:szCs w:val="24"/>
        </w:rPr>
        <w:t>考核组织：实习单位成立以实习管理部门为主的实习考核工作小组，统筹安排考核内容、时间、地点；各科室成立本科室的实习考核小组，组织实施本科室的实习考核。</w:t>
      </w:r>
    </w:p>
    <w:p>
      <w:pPr>
        <w:spacing w:line="360" w:lineRule="auto"/>
        <w:ind w:firstLine="480" w:firstLineChars="200"/>
        <w:outlineLvl w:val="0"/>
        <w:rPr>
          <w:rFonts w:ascii="宋体" w:hAnsi="宋体" w:cs="仿宋"/>
          <w:color w:val="000000"/>
          <w:sz w:val="24"/>
          <w:szCs w:val="24"/>
        </w:rPr>
      </w:pPr>
      <w:r>
        <w:rPr>
          <w:rFonts w:hint="eastAsia" w:ascii="宋体" w:hAnsi="宋体" w:cs="Calibri"/>
          <w:color w:val="000000"/>
          <w:sz w:val="24"/>
          <w:szCs w:val="24"/>
        </w:rPr>
        <w:t>（4）</w:t>
      </w:r>
      <w:r>
        <w:rPr>
          <w:rFonts w:hint="eastAsia" w:ascii="宋体" w:hAnsi="宋体" w:cs="仿宋"/>
          <w:color w:val="000000"/>
          <w:sz w:val="24"/>
          <w:szCs w:val="24"/>
        </w:rPr>
        <w:t>实施考核：专科出科考核在学生完成某专科（呼吸内科、骨科等）实习时由本科室考核小组组织实施，考核学生该专科的基本知识和基本技能，并对实习过程中的工作态度、医学人文素养和职业精神养成进行评价，综合形成考核成绩；大科出科考核按照学校统一的实习进度，在学生完成某大科（如内科、外科等）实习时，由学校与实习单位协商确定统一的考核内容和形式，由实习单位的考核工作小组组织相应科室实施考核，主要考核学生对本科知识、技能的掌握和综合应用能力，并结合本科内各专科出科考核成绩，确定大科考核成绩。综合考核在学生完成全部实习时进行，由实习单位的考核工作小组组织实施，对学生的临床知识、技能和素质进行全面考核评价，综合考核结果分优秀、良好、合格、不合格四个等次，考核合格以上等次的学生获得学分，并记入学籍档案，综合考核不合格者，不予毕业。所有考核成绩均记入实习鉴定手册。</w:t>
      </w:r>
    </w:p>
    <w:p>
      <w:pPr>
        <w:spacing w:line="360" w:lineRule="auto"/>
        <w:ind w:firstLine="482" w:firstLineChars="200"/>
        <w:outlineLvl w:val="0"/>
        <w:rPr>
          <w:rFonts w:ascii="宋体" w:hAnsi="宋体" w:cs="仿宋"/>
          <w:b/>
          <w:color w:val="000000"/>
          <w:sz w:val="24"/>
          <w:szCs w:val="24"/>
        </w:rPr>
      </w:pPr>
      <w:r>
        <w:rPr>
          <w:rFonts w:hint="eastAsia" w:ascii="宋体" w:hAnsi="宋体" w:cs="仿宋"/>
          <w:b/>
          <w:color w:val="000000"/>
          <w:sz w:val="24"/>
          <w:szCs w:val="24"/>
        </w:rPr>
        <w:t>7.实习成果</w:t>
      </w:r>
    </w:p>
    <w:p>
      <w:pPr>
        <w:spacing w:line="360" w:lineRule="auto"/>
        <w:ind w:firstLine="480" w:firstLineChars="200"/>
        <w:outlineLvl w:val="0"/>
        <w:rPr>
          <w:rFonts w:ascii="宋体" w:hAnsi="宋体" w:cs="仿宋"/>
          <w:color w:val="000000"/>
          <w:sz w:val="24"/>
          <w:szCs w:val="24"/>
        </w:rPr>
      </w:pPr>
      <w:r>
        <w:rPr>
          <w:rFonts w:hint="eastAsia" w:ascii="宋体" w:hAnsi="宋体" w:cs="仿宋"/>
          <w:color w:val="000000"/>
          <w:sz w:val="24"/>
          <w:szCs w:val="24"/>
        </w:rPr>
        <w:t>实习结束后，每位实习生需提供以下实习成果。</w:t>
      </w:r>
    </w:p>
    <w:p>
      <w:pPr>
        <w:spacing w:line="360" w:lineRule="auto"/>
        <w:ind w:firstLine="480" w:firstLineChars="200"/>
        <w:outlineLvl w:val="0"/>
        <w:rPr>
          <w:rFonts w:ascii="宋体" w:hAnsi="宋体" w:cs="仿宋"/>
          <w:color w:val="000000"/>
          <w:sz w:val="24"/>
          <w:szCs w:val="24"/>
        </w:rPr>
      </w:pPr>
      <w:r>
        <w:rPr>
          <w:rFonts w:hint="eastAsia" w:ascii="宋体" w:hAnsi="宋体" w:cs="仿宋"/>
          <w:color w:val="000000"/>
          <w:sz w:val="24"/>
          <w:szCs w:val="24"/>
        </w:rPr>
        <w:t>（1）实习总结报告：内容包括实习时间、实习单位、轮转科室、知识和技能掌握情况、思想道德情况、对专业的认识、实习体会和对实习的意见和建议等。</w:t>
      </w:r>
    </w:p>
    <w:p>
      <w:pPr>
        <w:spacing w:line="360" w:lineRule="auto"/>
        <w:ind w:firstLine="480" w:firstLineChars="200"/>
        <w:outlineLvl w:val="0"/>
        <w:rPr>
          <w:rFonts w:ascii="宋体" w:hAnsi="宋体" w:cs="仿宋"/>
          <w:color w:val="000000"/>
          <w:sz w:val="24"/>
          <w:szCs w:val="24"/>
        </w:rPr>
      </w:pPr>
      <w:r>
        <w:rPr>
          <w:rFonts w:hint="eastAsia" w:ascii="宋体" w:hAnsi="宋体" w:cs="仿宋"/>
          <w:color w:val="000000"/>
          <w:sz w:val="24"/>
          <w:szCs w:val="24"/>
        </w:rPr>
        <w:t>（2）完整住院病历：内科、外科典型病历各1份，要包含病例讨论或病例分析，并附指导教师的修改意见和评价。</w:t>
      </w:r>
    </w:p>
    <w:p>
      <w:pPr>
        <w:spacing w:line="360" w:lineRule="auto"/>
        <w:ind w:firstLine="482" w:firstLineChars="200"/>
        <w:outlineLvl w:val="0"/>
        <w:rPr>
          <w:rFonts w:hint="eastAsia" w:ascii="宋体" w:hAnsi="宋体" w:cs="Calibri"/>
          <w:b/>
          <w:sz w:val="24"/>
          <w:szCs w:val="24"/>
        </w:rPr>
      </w:pPr>
      <w:r>
        <w:rPr>
          <w:rFonts w:hint="eastAsia" w:ascii="宋体" w:hAnsi="宋体" w:cs="Calibri"/>
          <w:b/>
          <w:sz w:val="24"/>
          <w:szCs w:val="24"/>
          <w:lang w:eastAsia="zh-CN"/>
        </w:rPr>
        <w:t>七</w:t>
      </w:r>
      <w:r>
        <w:rPr>
          <w:rFonts w:hint="eastAsia" w:ascii="宋体" w:hAnsi="宋体" w:cs="Calibri"/>
          <w:b/>
          <w:sz w:val="24"/>
          <w:szCs w:val="24"/>
        </w:rPr>
        <w:t>、教学进程总体</w:t>
      </w:r>
    </w:p>
    <w:p>
      <w:pPr>
        <w:spacing w:line="360" w:lineRule="auto"/>
        <w:ind w:firstLine="482" w:firstLineChars="200"/>
        <w:outlineLvl w:val="0"/>
        <w:rPr>
          <w:rFonts w:ascii="宋体" w:hAnsi="宋体" w:cs="Calibri"/>
          <w:b/>
          <w:sz w:val="24"/>
          <w:szCs w:val="24"/>
        </w:rPr>
      </w:pPr>
      <w:r>
        <w:rPr>
          <w:rFonts w:hint="eastAsia" w:ascii="宋体" w:hAnsi="宋体" w:cs="Calibri"/>
          <w:b/>
          <w:sz w:val="24"/>
          <w:szCs w:val="24"/>
        </w:rPr>
        <w:t>（一）教学进程总体安排</w:t>
      </w:r>
    </w:p>
    <w:p>
      <w:pPr>
        <w:spacing w:line="240" w:lineRule="atLeast"/>
        <w:jc w:val="center"/>
        <w:rPr>
          <w:rFonts w:ascii="宋体" w:hAnsi="宋体"/>
          <w:b/>
          <w:szCs w:val="21"/>
        </w:rPr>
      </w:pPr>
      <w:r>
        <w:rPr>
          <w:rFonts w:hint="eastAsia" w:ascii="宋体" w:hAnsi="宋体"/>
          <w:b/>
          <w:bCs/>
          <w:szCs w:val="21"/>
        </w:rPr>
        <w:t>广东茂名健康职业学院2020级临床医学专业课程设置与教学安排计划表</w:t>
      </w:r>
    </w:p>
    <w:tbl>
      <w:tblPr>
        <w:tblStyle w:val="14"/>
        <w:tblW w:w="10772" w:type="dxa"/>
        <w:jc w:val="center"/>
        <w:shd w:val="clear" w:color="auto" w:fill="auto"/>
        <w:tblLayout w:type="autofit"/>
        <w:tblCellMar>
          <w:top w:w="0" w:type="dxa"/>
          <w:left w:w="0" w:type="dxa"/>
          <w:bottom w:w="0" w:type="dxa"/>
          <w:right w:w="0" w:type="dxa"/>
        </w:tblCellMar>
      </w:tblPr>
      <w:tblGrid>
        <w:gridCol w:w="1064"/>
        <w:gridCol w:w="828"/>
        <w:gridCol w:w="432"/>
        <w:gridCol w:w="1915"/>
        <w:gridCol w:w="401"/>
        <w:gridCol w:w="480"/>
        <w:gridCol w:w="465"/>
        <w:gridCol w:w="474"/>
        <w:gridCol w:w="385"/>
        <w:gridCol w:w="387"/>
        <w:gridCol w:w="380"/>
        <w:gridCol w:w="385"/>
        <w:gridCol w:w="530"/>
        <w:gridCol w:w="510"/>
        <w:gridCol w:w="530"/>
        <w:gridCol w:w="510"/>
        <w:gridCol w:w="412"/>
        <w:gridCol w:w="345"/>
        <w:gridCol w:w="339"/>
      </w:tblGrid>
      <w:tr>
        <w:tblPrEx>
          <w:shd w:val="clear" w:color="auto" w:fill="auto"/>
          <w:tblCellMar>
            <w:top w:w="0" w:type="dxa"/>
            <w:left w:w="0" w:type="dxa"/>
            <w:bottom w:w="0" w:type="dxa"/>
            <w:right w:w="0" w:type="dxa"/>
          </w:tblCellMar>
        </w:tblPrEx>
        <w:trPr>
          <w:trHeight w:val="312" w:hRule="atLeast"/>
          <w:jc w:val="center"/>
        </w:trPr>
        <w:tc>
          <w:tcPr>
            <w:tcW w:w="10772" w:type="dxa"/>
            <w:gridSpan w:val="19"/>
            <w:tcBorders>
              <w:top w:val="nil"/>
              <w:left w:val="nil"/>
              <w:bottom w:val="nil"/>
              <w:right w:val="nil"/>
            </w:tcBorders>
            <w:shd w:val="clear" w:color="auto" w:fill="92D05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2020</w:t>
            </w:r>
            <w:r>
              <w:rPr>
                <w:rStyle w:val="33"/>
                <w:rFonts w:ascii="宋体" w:hAnsi="宋体" w:eastAsia="宋体" w:cs="宋体"/>
                <w:sz w:val="24"/>
                <w:szCs w:val="24"/>
                <w:lang w:val="en-US" w:eastAsia="zh-CN" w:bidi="ar"/>
              </w:rPr>
              <w:t>级广东茂名健康职业学院</w:t>
            </w:r>
          </w:p>
        </w:tc>
      </w:tr>
      <w:tr>
        <w:tblPrEx>
          <w:tblCellMar>
            <w:top w:w="0" w:type="dxa"/>
            <w:left w:w="0" w:type="dxa"/>
            <w:bottom w:w="0" w:type="dxa"/>
            <w:right w:w="0" w:type="dxa"/>
          </w:tblCellMar>
        </w:tblPrEx>
        <w:trPr>
          <w:trHeight w:val="342" w:hRule="atLeast"/>
          <w:jc w:val="center"/>
        </w:trPr>
        <w:tc>
          <w:tcPr>
            <w:tcW w:w="10772" w:type="dxa"/>
            <w:gridSpan w:val="19"/>
            <w:tcBorders>
              <w:top w:val="nil"/>
              <w:left w:val="nil"/>
              <w:bottom w:val="nil"/>
              <w:right w:val="nil"/>
            </w:tcBorders>
            <w:shd w:val="clear" w:color="auto" w:fill="92D05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基层卫生人才学历提升秋季入学试点班【临床医学</w:t>
            </w:r>
            <w:r>
              <w:rPr>
                <w:rStyle w:val="33"/>
                <w:rFonts w:ascii="宋体" w:hAnsi="宋体" w:eastAsia="宋体" w:cs="宋体"/>
                <w:sz w:val="24"/>
                <w:szCs w:val="24"/>
                <w:lang w:val="en-US" w:eastAsia="zh-CN" w:bidi="ar"/>
              </w:rPr>
              <w:t>专业】课程设置及教学进程表</w:t>
            </w:r>
          </w:p>
        </w:tc>
      </w:tr>
      <w:tr>
        <w:tblPrEx>
          <w:tblCellMar>
            <w:top w:w="0" w:type="dxa"/>
            <w:left w:w="0" w:type="dxa"/>
            <w:bottom w:w="0" w:type="dxa"/>
            <w:right w:w="0" w:type="dxa"/>
          </w:tblCellMar>
        </w:tblPrEx>
        <w:trPr>
          <w:trHeight w:val="342" w:hRule="atLeast"/>
          <w:jc w:val="center"/>
        </w:trPr>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课程类型</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课程性质</w:t>
            </w:r>
          </w:p>
        </w:tc>
        <w:tc>
          <w:tcPr>
            <w:tcW w:w="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课程序号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课 程 名 称</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学期</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学时数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集中学习各学期学时分配</w:t>
            </w:r>
          </w:p>
        </w:tc>
      </w:tr>
      <w:tr>
        <w:tblPrEx>
          <w:tblCellMar>
            <w:top w:w="0" w:type="dxa"/>
            <w:left w:w="0" w:type="dxa"/>
            <w:bottom w:w="0" w:type="dxa"/>
            <w:right w:w="0" w:type="dxa"/>
          </w:tblCellMar>
        </w:tblPrEx>
        <w:trPr>
          <w:trHeight w:val="34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7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集中学习</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自主学习</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第一学年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第二学年</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第三学年</w:t>
            </w:r>
          </w:p>
        </w:tc>
      </w:tr>
      <w:tr>
        <w:tblPrEx>
          <w:tblCellMar>
            <w:top w:w="0" w:type="dxa"/>
            <w:left w:w="0" w:type="dxa"/>
            <w:bottom w:w="0" w:type="dxa"/>
            <w:right w:w="0" w:type="dxa"/>
          </w:tblCellMar>
        </w:tblPrEx>
        <w:trPr>
          <w:trHeight w:val="34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考试</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考查</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3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w:t>
            </w:r>
          </w:p>
        </w:tc>
        <w:tc>
          <w:tcPr>
            <w:tcW w:w="3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实践</w:t>
            </w:r>
          </w:p>
        </w:tc>
        <w:tc>
          <w:tcPr>
            <w:tcW w:w="3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w:t>
            </w:r>
          </w:p>
        </w:tc>
        <w:tc>
          <w:tcPr>
            <w:tcW w:w="3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w:t>
            </w:r>
          </w:p>
        </w:tc>
      </w:tr>
      <w:tr>
        <w:tblPrEx>
          <w:tblCellMar>
            <w:top w:w="0" w:type="dxa"/>
            <w:left w:w="0" w:type="dxa"/>
            <w:bottom w:w="0" w:type="dxa"/>
            <w:right w:w="0" w:type="dxa"/>
          </w:tblCellMar>
        </w:tblPrEx>
        <w:trPr>
          <w:trHeight w:val="285"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r>
      <w:tr>
        <w:tblPrEx>
          <w:tblCellMar>
            <w:top w:w="0" w:type="dxa"/>
            <w:left w:w="0" w:type="dxa"/>
            <w:bottom w:w="0" w:type="dxa"/>
            <w:right w:w="0" w:type="dxa"/>
          </w:tblCellMar>
        </w:tblPrEx>
        <w:trPr>
          <w:trHeight w:val="285"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w:t>
            </w:r>
          </w:p>
        </w:tc>
        <w:tc>
          <w:tcPr>
            <w:tcW w:w="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w:t>
            </w:r>
          </w:p>
        </w:tc>
      </w:tr>
      <w:tr>
        <w:tblPrEx>
          <w:tblCellMar>
            <w:top w:w="0" w:type="dxa"/>
            <w:left w:w="0" w:type="dxa"/>
            <w:bottom w:w="0" w:type="dxa"/>
            <w:right w:w="0" w:type="dxa"/>
          </w:tblCellMar>
        </w:tblPrEx>
        <w:trPr>
          <w:trHeight w:val="360" w:hRule="atLeast"/>
          <w:jc w:val="center"/>
        </w:trPr>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公共课</w:t>
            </w:r>
          </w:p>
        </w:tc>
        <w:tc>
          <w:tcPr>
            <w:tcW w:w="828" w:type="dxa"/>
            <w:vMerge w:val="restart"/>
            <w:tcBorders>
              <w:top w:val="single" w:color="000000" w:sz="4" w:space="0"/>
              <w:left w:val="nil"/>
              <w:bottom w:val="nil"/>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基础必修</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入学教育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毕业实习</w:t>
            </w:r>
          </w:p>
        </w:tc>
      </w:tr>
      <w:tr>
        <w:tblPrEx>
          <w:tblCellMar>
            <w:top w:w="0" w:type="dxa"/>
            <w:left w:w="0" w:type="dxa"/>
            <w:bottom w:w="0" w:type="dxa"/>
            <w:right w:w="0" w:type="dxa"/>
          </w:tblCellMar>
        </w:tblPrEx>
        <w:trPr>
          <w:trHeight w:val="375"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nil"/>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思想道德修养与法律基础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nil"/>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计算机应用基础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90"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nil"/>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大学生心理健康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nil"/>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英语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nil"/>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nil"/>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职业发展与就业指导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0"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nil"/>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nil"/>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军事教育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90"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nil"/>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形势与政策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nil"/>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创新创业教育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55"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nil"/>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毛泽东思想和中国特色社会主义理论体系概论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nil"/>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健康教育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nil"/>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志愿服务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nil"/>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美育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公共选修</w:t>
            </w:r>
          </w:p>
        </w:tc>
        <w:tc>
          <w:tcPr>
            <w:tcW w:w="432"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课程设置面向全校，由教务科研处统一安排</w:t>
            </w: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3175" w:type="dxa"/>
            <w:gridSpan w:val="3"/>
            <w:tcBorders>
              <w:top w:val="single" w:color="000000" w:sz="4" w:space="0"/>
              <w:left w:val="single" w:color="000000" w:sz="4" w:space="0"/>
              <w:bottom w:val="single" w:color="000000" w:sz="4" w:space="0"/>
              <w:right w:val="single" w:color="000000" w:sz="4" w:space="0"/>
            </w:tcBorders>
            <w:shd w:val="clear" w:color="auto" w:fill="A9D08E"/>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252</w:t>
            </w:r>
          </w:p>
        </w:tc>
        <w:tc>
          <w:tcPr>
            <w:tcW w:w="380" w:type="dxa"/>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385" w:type="dxa"/>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w:t>
            </w: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jc w:val="center"/>
        </w:trPr>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专业课</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专业基础课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人体解剖学</w:t>
            </w:r>
            <w:r>
              <w:rPr>
                <w:rStyle w:val="34"/>
                <w:lang w:val="en-US" w:eastAsia="zh-CN" w:bidi="ar"/>
              </w:rPr>
              <w:t>*</w:t>
            </w:r>
            <w:r>
              <w:rPr>
                <w:rStyle w:val="3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组织学与胚胎学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生物化学▲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医学伦理学▲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生理学★▲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病理学★▲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病理生理学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免疫学与病原微生物学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药理学★▲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医学心理学▲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医患沟通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卫生法律法规▲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2347" w:type="dxa"/>
            <w:gridSpan w:val="2"/>
            <w:tcBorders>
              <w:top w:val="single" w:color="000000" w:sz="4" w:space="0"/>
              <w:left w:val="single" w:color="000000" w:sz="4" w:space="0"/>
              <w:bottom w:val="single" w:color="000000" w:sz="4" w:space="0"/>
              <w:right w:val="single" w:color="000000" w:sz="4" w:space="0"/>
            </w:tcBorders>
            <w:shd w:val="clear" w:color="auto" w:fill="A9D08E"/>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352</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w:t>
            </w:r>
          </w:p>
        </w:tc>
        <w:tc>
          <w:tcPr>
            <w:tcW w:w="380" w:type="dxa"/>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124</w:t>
            </w:r>
          </w:p>
        </w:tc>
        <w:tc>
          <w:tcPr>
            <w:tcW w:w="385" w:type="dxa"/>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w:t>
            </w: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专业核心课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 w:hAnsi="宋" w:eastAsia="宋" w:cs="宋"/>
                <w:i w:val="0"/>
                <w:color w:val="000000"/>
                <w:sz w:val="20"/>
                <w:szCs w:val="20"/>
                <w:u w:val="none"/>
              </w:rPr>
            </w:pPr>
            <w:r>
              <w:rPr>
                <w:rFonts w:hint="default" w:ascii="宋" w:hAnsi="宋" w:eastAsia="宋" w:cs="宋"/>
                <w:i w:val="0"/>
                <w:color w:val="000000"/>
                <w:kern w:val="0"/>
                <w:sz w:val="20"/>
                <w:szCs w:val="20"/>
                <w:u w:val="none"/>
                <w:lang w:val="en-US" w:eastAsia="zh-CN" w:bidi="ar"/>
              </w:rPr>
              <w:t>1</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诊断学</w:t>
            </w:r>
            <w:r>
              <w:rPr>
                <w:rStyle w:val="36"/>
                <w:lang w:val="en-US" w:eastAsia="zh-CN" w:bidi="ar"/>
              </w:rPr>
              <w:t>*</w:t>
            </w:r>
            <w:r>
              <w:rPr>
                <w:rStyle w:val="37"/>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 w:hAnsi="宋" w:eastAsia="宋" w:cs="宋"/>
                <w:i w:val="0"/>
                <w:color w:val="000000"/>
                <w:sz w:val="20"/>
                <w:szCs w:val="20"/>
                <w:u w:val="none"/>
              </w:rPr>
            </w:pPr>
            <w:r>
              <w:rPr>
                <w:rFonts w:hint="default" w:ascii="宋" w:hAnsi="宋" w:eastAsia="宋" w:cs="宋"/>
                <w:i w:val="0"/>
                <w:color w:val="000000"/>
                <w:kern w:val="0"/>
                <w:sz w:val="20"/>
                <w:szCs w:val="20"/>
                <w:u w:val="none"/>
                <w:lang w:val="en-US" w:eastAsia="zh-CN" w:bidi="ar"/>
              </w:rPr>
              <w:t>2</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预防医学▲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 w:hAnsi="宋" w:eastAsia="宋" w:cs="宋"/>
                <w:i w:val="0"/>
                <w:color w:val="000000"/>
                <w:sz w:val="20"/>
                <w:szCs w:val="20"/>
                <w:u w:val="none"/>
              </w:rPr>
            </w:pPr>
            <w:r>
              <w:rPr>
                <w:rFonts w:hint="default" w:ascii="宋" w:hAnsi="宋" w:eastAsia="宋" w:cs="宋"/>
                <w:i w:val="0"/>
                <w:color w:val="000000"/>
                <w:kern w:val="0"/>
                <w:sz w:val="20"/>
                <w:szCs w:val="20"/>
                <w:u w:val="none"/>
                <w:lang w:val="en-US" w:eastAsia="zh-CN" w:bidi="ar"/>
              </w:rPr>
              <w:t>3</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 w:hAnsi="宋" w:eastAsia="宋" w:cs="宋"/>
                <w:i w:val="0"/>
                <w:color w:val="000000"/>
                <w:sz w:val="20"/>
                <w:szCs w:val="20"/>
                <w:u w:val="none"/>
              </w:rPr>
            </w:pPr>
            <w:r>
              <w:rPr>
                <w:rFonts w:hint="default" w:ascii="宋" w:hAnsi="宋" w:eastAsia="宋" w:cs="宋"/>
                <w:i w:val="0"/>
                <w:color w:val="000000"/>
                <w:kern w:val="0"/>
                <w:sz w:val="20"/>
                <w:szCs w:val="20"/>
                <w:u w:val="none"/>
                <w:lang w:val="en-US" w:eastAsia="zh-CN" w:bidi="ar"/>
              </w:rPr>
              <w:t>4</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外科学</w:t>
            </w:r>
            <w:r>
              <w:rPr>
                <w:rStyle w:val="36"/>
                <w:lang w:val="en-US" w:eastAsia="zh-CN" w:bidi="ar"/>
              </w:rPr>
              <w:t>*</w:t>
            </w:r>
            <w:r>
              <w:rPr>
                <w:rStyle w:val="37"/>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 w:hAnsi="宋" w:eastAsia="宋" w:cs="宋"/>
                <w:i w:val="0"/>
                <w:color w:val="000000"/>
                <w:sz w:val="20"/>
                <w:szCs w:val="20"/>
                <w:u w:val="none"/>
              </w:rPr>
            </w:pPr>
            <w:r>
              <w:rPr>
                <w:rFonts w:hint="default" w:ascii="宋" w:hAnsi="宋" w:eastAsia="宋" w:cs="宋"/>
                <w:i w:val="0"/>
                <w:color w:val="000000"/>
                <w:kern w:val="0"/>
                <w:sz w:val="20"/>
                <w:szCs w:val="20"/>
                <w:u w:val="none"/>
                <w:lang w:val="en-US" w:eastAsia="zh-CN" w:bidi="ar"/>
              </w:rPr>
              <w:t>5</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 w:hAnsi="宋" w:eastAsia="宋" w:cs="宋"/>
                <w:i w:val="0"/>
                <w:color w:val="000000"/>
                <w:sz w:val="20"/>
                <w:szCs w:val="20"/>
                <w:u w:val="none"/>
              </w:rPr>
            </w:pPr>
            <w:r>
              <w:rPr>
                <w:rFonts w:hint="default" w:ascii="宋" w:hAnsi="宋" w:eastAsia="宋" w:cs="宋"/>
                <w:i w:val="0"/>
                <w:color w:val="000000"/>
                <w:kern w:val="0"/>
                <w:sz w:val="20"/>
                <w:szCs w:val="20"/>
                <w:u w:val="none"/>
                <w:lang w:val="en-US" w:eastAsia="zh-CN" w:bidi="ar"/>
              </w:rPr>
              <w:t>6</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儿科学★▲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 w:hAnsi="宋" w:eastAsia="宋" w:cs="宋"/>
                <w:i w:val="0"/>
                <w:color w:val="000000"/>
                <w:sz w:val="20"/>
                <w:szCs w:val="20"/>
                <w:u w:val="none"/>
              </w:rPr>
            </w:pPr>
            <w:r>
              <w:rPr>
                <w:rFonts w:hint="default" w:ascii="宋" w:hAnsi="宋" w:eastAsia="宋" w:cs="宋"/>
                <w:i w:val="0"/>
                <w:color w:val="000000"/>
                <w:kern w:val="0"/>
                <w:sz w:val="20"/>
                <w:szCs w:val="20"/>
                <w:u w:val="none"/>
                <w:lang w:val="en-US" w:eastAsia="zh-CN" w:bidi="ar"/>
              </w:rPr>
              <w:t>7</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急救医学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 w:hAnsi="宋" w:eastAsia="宋" w:cs="宋"/>
                <w:i w:val="0"/>
                <w:color w:val="000000"/>
                <w:sz w:val="20"/>
                <w:szCs w:val="20"/>
                <w:u w:val="none"/>
              </w:rPr>
            </w:pPr>
            <w:r>
              <w:rPr>
                <w:rFonts w:hint="default" w:ascii="宋" w:hAnsi="宋" w:eastAsia="宋" w:cs="宋"/>
                <w:i w:val="0"/>
                <w:color w:val="000000"/>
                <w:kern w:val="0"/>
                <w:sz w:val="20"/>
                <w:szCs w:val="20"/>
                <w:u w:val="none"/>
                <w:lang w:val="en-US" w:eastAsia="zh-CN" w:bidi="ar"/>
              </w:rPr>
              <w:t>8</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基本公共卫生服务实务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2347" w:type="dxa"/>
            <w:gridSpan w:val="2"/>
            <w:tcBorders>
              <w:top w:val="single" w:color="000000" w:sz="4" w:space="0"/>
              <w:left w:val="single" w:color="000000" w:sz="4" w:space="0"/>
              <w:bottom w:val="single" w:color="000000" w:sz="4" w:space="0"/>
              <w:right w:val="single" w:color="000000" w:sz="4" w:space="0"/>
            </w:tcBorders>
            <w:shd w:val="clear" w:color="auto" w:fill="A9D08E"/>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444</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72</w:t>
            </w:r>
          </w:p>
        </w:tc>
        <w:tc>
          <w:tcPr>
            <w:tcW w:w="380" w:type="dxa"/>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148</w:t>
            </w:r>
          </w:p>
        </w:tc>
        <w:tc>
          <w:tcPr>
            <w:tcW w:w="385" w:type="dxa"/>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w:t>
            </w: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专业拓展课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中医基础与适宜技术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全科医学概论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传染病学▲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皮肤性病学▲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眼耳鼻咽喉科学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神经精神病学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康复医学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w:t>
            </w:r>
          </w:p>
        </w:tc>
        <w:tc>
          <w:tcPr>
            <w:tcW w:w="380" w:type="dxa"/>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62</w:t>
            </w:r>
          </w:p>
        </w:tc>
        <w:tc>
          <w:tcPr>
            <w:tcW w:w="385" w:type="dxa"/>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w:t>
            </w: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55"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专业选修课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医用化学基础               /医用高等数学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38"/>
                <w:lang w:val="en-US" w:eastAsia="zh-CN" w:bidi="ar"/>
              </w:rPr>
              <w:t>细胞生物学和医学遗传学</w:t>
            </w:r>
            <w:r>
              <w:rPr>
                <w:rStyle w:val="37"/>
                <w:lang w:val="en-US" w:eastAsia="zh-CN" w:bidi="ar"/>
              </w:rPr>
              <w:t xml:space="preserve">     /优生学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00"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医学文献检索               /中外医学史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85"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医学影像诊断技术           /临床检验基础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8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85"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常用护理技术               /基础护理操作技术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55"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38"/>
                <w:lang w:val="en-US" w:eastAsia="zh-CN" w:bidi="ar"/>
              </w:rPr>
              <w:t>医学科研方法与论文写作</w:t>
            </w:r>
            <w:r>
              <w:rPr>
                <w:rStyle w:val="37"/>
                <w:lang w:val="en-US" w:eastAsia="zh-CN" w:bidi="ar"/>
              </w:rPr>
              <w:t xml:space="preserve">     /医学应用写作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w:t>
            </w:r>
          </w:p>
        </w:tc>
        <w:tc>
          <w:tcPr>
            <w:tcW w:w="380" w:type="dxa"/>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106</w:t>
            </w:r>
          </w:p>
        </w:tc>
        <w:tc>
          <w:tcPr>
            <w:tcW w:w="385" w:type="dxa"/>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w:t>
            </w: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专业技能综合实训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w:t>
            </w: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3175" w:type="dxa"/>
            <w:gridSpan w:val="3"/>
            <w:tcBorders>
              <w:top w:val="single" w:color="000000" w:sz="4" w:space="0"/>
              <w:left w:val="single" w:color="000000" w:sz="4" w:space="0"/>
              <w:bottom w:val="single" w:color="000000" w:sz="4" w:space="0"/>
              <w:right w:val="single" w:color="000000" w:sz="4" w:space="0"/>
            </w:tcBorders>
            <w:shd w:val="clear" w:color="auto" w:fill="A9D08E"/>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1184</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512</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172</w:t>
            </w:r>
          </w:p>
        </w:tc>
        <w:tc>
          <w:tcPr>
            <w:tcW w:w="380" w:type="dxa"/>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440</w:t>
            </w:r>
          </w:p>
        </w:tc>
        <w:tc>
          <w:tcPr>
            <w:tcW w:w="385" w:type="dxa"/>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w:t>
            </w:r>
          </w:p>
        </w:tc>
        <w:tc>
          <w:tcPr>
            <w:tcW w:w="6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jc w:val="center"/>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毕业实习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24周</w:t>
            </w:r>
          </w:p>
        </w:tc>
      </w:tr>
      <w:tr>
        <w:tblPrEx>
          <w:tblCellMar>
            <w:top w:w="0" w:type="dxa"/>
            <w:left w:w="0" w:type="dxa"/>
            <w:bottom w:w="0" w:type="dxa"/>
            <w:right w:w="0" w:type="dxa"/>
          </w:tblCellMar>
        </w:tblPrEx>
        <w:trPr>
          <w:trHeight w:val="342" w:hRule="atLeast"/>
          <w:jc w:val="center"/>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2540</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596</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424</w:t>
            </w:r>
          </w:p>
        </w:tc>
        <w:tc>
          <w:tcPr>
            <w:tcW w:w="380" w:type="dxa"/>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740</w:t>
            </w:r>
          </w:p>
        </w:tc>
        <w:tc>
          <w:tcPr>
            <w:tcW w:w="385" w:type="dxa"/>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780</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284</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274</w:t>
            </w:r>
          </w:p>
        </w:tc>
        <w:tc>
          <w:tcPr>
            <w:tcW w:w="0" w:type="auto"/>
            <w:tcBorders>
              <w:top w:val="single" w:color="000000" w:sz="4" w:space="0"/>
              <w:left w:val="single" w:color="000000" w:sz="4" w:space="0"/>
              <w:bottom w:val="single" w:color="000000" w:sz="4" w:space="0"/>
              <w:right w:val="single" w:color="000000" w:sz="4" w:space="0"/>
            </w:tcBorders>
            <w:shd w:val="clear" w:color="auto" w:fill="A9D08E"/>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w:t>
            </w: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理论课总学时  1336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理论课占总学时比例</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52.60%</w:t>
            </w:r>
          </w:p>
        </w:tc>
        <w:tc>
          <w:tcPr>
            <w:tcW w:w="0" w:type="auto"/>
            <w:gridSpan w:val="6"/>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学期开课门次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实践课总学时  1204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实践课占总学时比例</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47.40%</w:t>
            </w:r>
          </w:p>
        </w:tc>
        <w:tc>
          <w:tcPr>
            <w:tcW w:w="0" w:type="auto"/>
            <w:gridSpan w:val="6"/>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考试门次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学期总学时  </w:t>
            </w:r>
            <w:r>
              <w:rPr>
                <w:rStyle w:val="39"/>
                <w:lang w:val="en-US" w:eastAsia="zh-CN" w:bidi="ar"/>
              </w:rPr>
              <w:t xml:space="preserve">  2540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gridSpan w:val="6"/>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考查门次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jc w:val="center"/>
        </w:trPr>
        <w:tc>
          <w:tcPr>
            <w:tcW w:w="10772" w:type="dxa"/>
            <w:gridSpan w:val="19"/>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r>
              <w:rPr>
                <w:rFonts w:hint="eastAsia" w:ascii="宋体" w:hAnsi="宋体" w:eastAsia="宋体" w:cs="宋体"/>
                <w:b/>
                <w:i w:val="0"/>
                <w:color w:val="000000"/>
                <w:kern w:val="0"/>
                <w:sz w:val="20"/>
                <w:szCs w:val="20"/>
                <w:u w:val="none"/>
                <w:lang w:val="en-US" w:eastAsia="zh-CN" w:bidi="ar"/>
              </w:rPr>
              <w:br w:type="textWrapping"/>
            </w:r>
            <w:r>
              <w:rPr>
                <w:rStyle w:val="40"/>
                <w:lang w:val="en-US" w:eastAsia="zh-CN" w:bidi="ar"/>
              </w:rPr>
              <w:t>1.每学期教学安排为20周。采取线上教学、现场授课等方式上课，学生平时在岗学习或通过网络教学资源进行线上学习，周末、节假日或晚上在教学点集中面授和辅导。面授及线上教学期间，任课老师严格考勤，凡缺课课时累计超过该课程面授或线上教学总课时1/4者，取消本课程考试资格。</w:t>
            </w:r>
            <w:r>
              <w:rPr>
                <w:rStyle w:val="40"/>
                <w:lang w:val="en-US" w:eastAsia="zh-CN" w:bidi="ar"/>
              </w:rPr>
              <w:br w:type="textWrapping"/>
            </w:r>
            <w:r>
              <w:rPr>
                <w:rStyle w:val="40"/>
                <w:lang w:val="en-US" w:eastAsia="zh-CN" w:bidi="ar"/>
              </w:rPr>
              <w:t>2.公共选修课安排在课余时间上课，在校期间每生需修学分不少于4学分。</w:t>
            </w:r>
            <w:r>
              <w:rPr>
                <w:rStyle w:val="40"/>
                <w:lang w:val="en-US" w:eastAsia="zh-CN" w:bidi="ar"/>
              </w:rPr>
              <w:br w:type="textWrapping"/>
            </w:r>
            <w:r>
              <w:rPr>
                <w:rStyle w:val="40"/>
                <w:lang w:val="en-US" w:eastAsia="zh-CN" w:bidi="ar"/>
              </w:rPr>
              <w:t>3.劳动课程通过劳动实践、创卫创文活动等形式开展。</w:t>
            </w:r>
            <w:r>
              <w:rPr>
                <w:rStyle w:val="40"/>
                <w:lang w:val="en-US" w:eastAsia="zh-CN" w:bidi="ar"/>
              </w:rPr>
              <w:br w:type="textWrapping"/>
            </w:r>
            <w:r>
              <w:rPr>
                <w:rStyle w:val="40"/>
                <w:lang w:val="en-US" w:eastAsia="zh-CN" w:bidi="ar"/>
              </w:rPr>
              <w:t>4.体育课共108课时，其中1-4学期校内学习中乐跑计10学时。</w:t>
            </w:r>
            <w:r>
              <w:rPr>
                <w:rStyle w:val="40"/>
                <w:lang w:val="en-US" w:eastAsia="zh-CN" w:bidi="ar"/>
              </w:rPr>
              <w:br w:type="textWrapping"/>
            </w:r>
            <w:r>
              <w:rPr>
                <w:rStyle w:val="40"/>
                <w:lang w:val="en-US" w:eastAsia="zh-CN" w:bidi="ar"/>
              </w:rPr>
              <w:t>5.健康教育课程通过主题班会、讲座等形式开展。</w:t>
            </w:r>
            <w:r>
              <w:rPr>
                <w:rStyle w:val="40"/>
                <w:lang w:val="en-US" w:eastAsia="zh-CN" w:bidi="ar"/>
              </w:rPr>
              <w:br w:type="textWrapping"/>
            </w:r>
            <w:r>
              <w:rPr>
                <w:rStyle w:val="40"/>
                <w:lang w:val="en-US" w:eastAsia="zh-CN" w:bidi="ar"/>
              </w:rPr>
              <w:t>6.志愿服务第1-4学期都开展，但安排在第二学期和第四学期算成绩。</w:t>
            </w:r>
            <w:r>
              <w:rPr>
                <w:rStyle w:val="40"/>
                <w:lang w:val="en-US" w:eastAsia="zh-CN" w:bidi="ar"/>
              </w:rPr>
              <w:br w:type="textWrapping"/>
            </w:r>
            <w:r>
              <w:rPr>
                <w:rStyle w:val="40"/>
                <w:lang w:val="en-US" w:eastAsia="zh-CN" w:bidi="ar"/>
              </w:rPr>
              <w:t>7.美育课程通过讲座、社团活动、社会实践等形式开展。</w:t>
            </w:r>
            <w:r>
              <w:rPr>
                <w:rStyle w:val="40"/>
                <w:lang w:val="en-US" w:eastAsia="zh-CN" w:bidi="ar"/>
              </w:rPr>
              <w:br w:type="textWrapping"/>
            </w:r>
            <w:r>
              <w:rPr>
                <w:rStyle w:val="40"/>
                <w:lang w:val="en-US" w:eastAsia="zh-CN" w:bidi="ar"/>
              </w:rPr>
              <w:t>8.*表示开设学科实践技能考核；w表示集中实践教学周。</w:t>
            </w:r>
          </w:p>
        </w:tc>
      </w:tr>
      <w:tr>
        <w:tblPrEx>
          <w:shd w:val="clear" w:color="auto" w:fill="auto"/>
          <w:tblCellMar>
            <w:top w:w="0" w:type="dxa"/>
            <w:left w:w="0" w:type="dxa"/>
            <w:bottom w:w="0" w:type="dxa"/>
            <w:right w:w="0" w:type="dxa"/>
          </w:tblCellMar>
        </w:tblPrEx>
        <w:trPr>
          <w:trHeight w:val="342" w:hRule="atLeast"/>
          <w:jc w:val="center"/>
        </w:trPr>
        <w:tc>
          <w:tcPr>
            <w:tcW w:w="10772" w:type="dxa"/>
            <w:gridSpan w:val="1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1815" w:hRule="atLeast"/>
          <w:jc w:val="center"/>
        </w:trPr>
        <w:tc>
          <w:tcPr>
            <w:tcW w:w="10772" w:type="dxa"/>
            <w:gridSpan w:val="1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b/>
                <w:i w:val="0"/>
                <w:color w:val="000000"/>
                <w:sz w:val="20"/>
                <w:szCs w:val="20"/>
                <w:u w:val="none"/>
              </w:rPr>
            </w:pPr>
          </w:p>
        </w:tc>
      </w:tr>
    </w:tbl>
    <w:p>
      <w:pPr>
        <w:spacing w:line="360" w:lineRule="auto"/>
        <w:ind w:firstLine="482" w:firstLineChars="200"/>
        <w:outlineLvl w:val="0"/>
        <w:rPr>
          <w:rFonts w:hint="eastAsia" w:ascii="宋体" w:hAnsi="宋体" w:cs="Calibri"/>
          <w:b/>
          <w:sz w:val="24"/>
          <w:szCs w:val="24"/>
        </w:rPr>
      </w:pPr>
    </w:p>
    <w:p>
      <w:pPr>
        <w:spacing w:line="360" w:lineRule="auto"/>
        <w:ind w:firstLine="482" w:firstLineChars="200"/>
        <w:outlineLvl w:val="0"/>
        <w:rPr>
          <w:rFonts w:ascii="宋体" w:hAnsi="宋体" w:cs="Calibri"/>
          <w:b/>
          <w:sz w:val="24"/>
          <w:szCs w:val="24"/>
        </w:rPr>
      </w:pPr>
      <w:r>
        <w:rPr>
          <w:rFonts w:hint="eastAsia" w:ascii="宋体" w:hAnsi="宋体" w:cs="Calibri"/>
          <w:b/>
          <w:sz w:val="24"/>
          <w:szCs w:val="24"/>
        </w:rPr>
        <w:t>（二）学时、学分</w:t>
      </w:r>
    </w:p>
    <w:p>
      <w:pPr>
        <w:spacing w:line="360" w:lineRule="auto"/>
        <w:ind w:firstLine="480" w:firstLineChars="200"/>
        <w:outlineLvl w:val="0"/>
        <w:rPr>
          <w:rFonts w:ascii="宋体" w:hAnsi="宋体" w:cs="Calibri"/>
          <w:sz w:val="24"/>
          <w:szCs w:val="24"/>
        </w:rPr>
      </w:pPr>
      <w:r>
        <w:rPr>
          <w:rFonts w:hint="eastAsia" w:ascii="宋体" w:hAnsi="宋体" w:cs="Calibri"/>
          <w:sz w:val="24"/>
          <w:szCs w:val="24"/>
        </w:rPr>
        <w:t>总学时2540学时，其中公共基础必修课程572学时、选修课程64学时,共636学时,占总学时的25.0%；选修课254学时(包括专业选修课190学时和公共基础选修课64学时)，占总学时的10.0%；集中面授上课1020学时，占总学时的58.0% 。</w:t>
      </w:r>
    </w:p>
    <w:p>
      <w:pPr>
        <w:spacing w:line="360" w:lineRule="auto"/>
        <w:ind w:firstLine="480" w:firstLineChars="200"/>
        <w:outlineLvl w:val="0"/>
        <w:rPr>
          <w:rFonts w:ascii="宋体" w:hAnsi="宋体" w:cs="Calibri"/>
          <w:sz w:val="24"/>
          <w:szCs w:val="24"/>
        </w:rPr>
      </w:pPr>
      <w:r>
        <w:rPr>
          <w:rFonts w:hint="eastAsia" w:ascii="宋体" w:hAnsi="宋体" w:cs="Calibri"/>
          <w:sz w:val="24"/>
          <w:szCs w:val="24"/>
        </w:rPr>
        <w:t>总学分133学分，其中理论、实验实训教学，每16～18学时折算1学分；专业技能综合实训，每周折算2学分；毕业实习，每周折算1学分。</w:t>
      </w:r>
    </w:p>
    <w:p>
      <w:pPr>
        <w:spacing w:line="360" w:lineRule="auto"/>
        <w:ind w:firstLine="480"/>
        <w:outlineLvl w:val="0"/>
        <w:rPr>
          <w:rFonts w:ascii="宋体" w:hAnsi="宋体"/>
          <w:b/>
          <w:bCs/>
          <w:color w:val="000000"/>
          <w:sz w:val="24"/>
          <w:szCs w:val="21"/>
        </w:rPr>
      </w:pPr>
      <w:r>
        <w:rPr>
          <w:rFonts w:hint="eastAsia" w:ascii="宋体" w:hAnsi="宋体"/>
          <w:b/>
          <w:bCs/>
          <w:color w:val="000000"/>
          <w:sz w:val="24"/>
          <w:szCs w:val="21"/>
          <w:lang w:eastAsia="zh-CN"/>
        </w:rPr>
        <w:t>八</w:t>
      </w:r>
      <w:r>
        <w:rPr>
          <w:rFonts w:hint="eastAsia" w:ascii="宋体" w:hAnsi="宋体"/>
          <w:b/>
          <w:bCs/>
          <w:color w:val="000000"/>
          <w:sz w:val="24"/>
          <w:szCs w:val="21"/>
        </w:rPr>
        <w:t>、实施保障</w:t>
      </w:r>
    </w:p>
    <w:p>
      <w:pPr>
        <w:spacing w:line="360" w:lineRule="auto"/>
        <w:ind w:firstLine="480"/>
        <w:outlineLvl w:val="0"/>
        <w:rPr>
          <w:rFonts w:ascii="宋体" w:hAnsi="宋体"/>
          <w:bCs/>
          <w:color w:val="000000"/>
          <w:sz w:val="24"/>
          <w:szCs w:val="21"/>
        </w:rPr>
      </w:pPr>
      <w:r>
        <w:rPr>
          <w:rFonts w:hint="eastAsia" w:ascii="宋体" w:hAnsi="宋体"/>
          <w:bCs/>
          <w:color w:val="000000"/>
          <w:sz w:val="24"/>
          <w:szCs w:val="21"/>
        </w:rPr>
        <w:t>主要包括师资队伍、教学设施、教学资源、教学方法、学习评价、质量管理等方面。</w:t>
      </w:r>
    </w:p>
    <w:p>
      <w:pPr>
        <w:spacing w:line="360" w:lineRule="auto"/>
        <w:ind w:firstLine="420"/>
        <w:rPr>
          <w:rFonts w:hint="eastAsia" w:ascii="宋体" w:hAnsi="宋体" w:cs="华文仿宋"/>
          <w:b/>
          <w:sz w:val="24"/>
        </w:rPr>
      </w:pPr>
      <w:r>
        <w:rPr>
          <w:rFonts w:hint="eastAsia" w:ascii="宋体" w:hAnsi="宋体" w:cs="华文仿宋"/>
          <w:b/>
          <w:sz w:val="24"/>
        </w:rPr>
        <w:t>（一）专业教学团队</w:t>
      </w:r>
    </w:p>
    <w:p>
      <w:pPr>
        <w:spacing w:line="360" w:lineRule="auto"/>
        <w:ind w:firstLine="480"/>
        <w:outlineLvl w:val="0"/>
        <w:rPr>
          <w:rFonts w:ascii="宋体" w:hAnsi="宋体"/>
          <w:b/>
          <w:bCs/>
          <w:sz w:val="24"/>
          <w:szCs w:val="21"/>
        </w:rPr>
      </w:pPr>
      <w:r>
        <w:rPr>
          <w:rFonts w:hint="eastAsia" w:ascii="宋体" w:hAnsi="宋体"/>
          <w:b/>
          <w:bCs/>
          <w:sz w:val="24"/>
          <w:szCs w:val="21"/>
        </w:rPr>
        <w:t>1.队伍结构</w:t>
      </w:r>
    </w:p>
    <w:p>
      <w:pPr>
        <w:spacing w:line="360" w:lineRule="auto"/>
        <w:ind w:firstLine="480"/>
        <w:outlineLvl w:val="0"/>
        <w:rPr>
          <w:rFonts w:ascii="宋体" w:hAnsi="宋体"/>
          <w:bCs/>
          <w:color w:val="000000"/>
          <w:sz w:val="24"/>
          <w:szCs w:val="21"/>
        </w:rPr>
      </w:pPr>
      <w:r>
        <w:rPr>
          <w:rFonts w:hint="eastAsia" w:ascii="宋体" w:hAnsi="宋体"/>
          <w:bCs/>
          <w:sz w:val="24"/>
          <w:szCs w:val="21"/>
        </w:rPr>
        <w:t>本专业教师团队，适应素质教育要求，爱岗敬业、与时俱进、业务精湛、求真务实、热衷科研、勇于创新，教学和科研能力较强、临床经验也较丰富的“双师型”教学团队。专任教师队伍形成职称、年龄合理的梯队结构。学生数与本专业专任教师数比例不高于25:1，双师素质教师占专业教师比例不低于60%。</w:t>
      </w:r>
    </w:p>
    <w:p>
      <w:pPr>
        <w:spacing w:line="360" w:lineRule="auto"/>
        <w:ind w:firstLine="482" w:firstLineChars="200"/>
        <w:outlineLvl w:val="0"/>
        <w:rPr>
          <w:rFonts w:ascii="宋体" w:hAnsi="宋体"/>
          <w:b/>
          <w:bCs/>
          <w:color w:val="000000"/>
          <w:sz w:val="24"/>
          <w:szCs w:val="21"/>
        </w:rPr>
      </w:pPr>
      <w:r>
        <w:rPr>
          <w:rFonts w:hint="eastAsia" w:ascii="宋体" w:hAnsi="宋体"/>
          <w:b/>
          <w:bCs/>
          <w:color w:val="000000"/>
          <w:sz w:val="24"/>
          <w:szCs w:val="21"/>
        </w:rPr>
        <w:t>2.专任教师</w:t>
      </w:r>
    </w:p>
    <w:p>
      <w:pPr>
        <w:spacing w:line="360" w:lineRule="auto"/>
        <w:ind w:firstLine="480"/>
        <w:outlineLvl w:val="0"/>
        <w:rPr>
          <w:rFonts w:ascii="宋体" w:hAnsi="宋体"/>
          <w:bCs/>
          <w:color w:val="000000"/>
          <w:sz w:val="24"/>
          <w:szCs w:val="21"/>
        </w:rPr>
      </w:pPr>
      <w:r>
        <w:rPr>
          <w:rFonts w:hint="eastAsia" w:ascii="宋体" w:hAnsi="宋体"/>
          <w:bCs/>
          <w:color w:val="000000"/>
          <w:sz w:val="24"/>
          <w:szCs w:val="21"/>
        </w:rPr>
        <w:t>专任教师具有高校教师资格和本专业领域相关证书；有理想信念、有道德情操、有扎实学识、有仁爱之心；具有临床医学及相关专业本科及以上学历；具有扎实的本专业相关理论基础和实践能力；具有较强信息化教学能力，能够开展“三教改革”和科学研究；有每5年累计不少于6个月的行业实践经历。</w:t>
      </w:r>
    </w:p>
    <w:p>
      <w:pPr>
        <w:spacing w:line="360" w:lineRule="auto"/>
        <w:ind w:firstLine="482" w:firstLineChars="200"/>
        <w:outlineLvl w:val="0"/>
        <w:rPr>
          <w:rFonts w:ascii="宋体" w:hAnsi="宋体"/>
          <w:b/>
          <w:bCs/>
          <w:color w:val="000000"/>
          <w:sz w:val="24"/>
          <w:szCs w:val="21"/>
        </w:rPr>
      </w:pPr>
      <w:r>
        <w:rPr>
          <w:rFonts w:hint="eastAsia" w:ascii="宋体" w:hAnsi="宋体"/>
          <w:b/>
          <w:bCs/>
          <w:color w:val="000000"/>
          <w:sz w:val="24"/>
          <w:szCs w:val="21"/>
        </w:rPr>
        <w:t>3.专业带头人</w:t>
      </w:r>
    </w:p>
    <w:p>
      <w:pPr>
        <w:spacing w:line="360" w:lineRule="auto"/>
        <w:ind w:firstLine="480" w:firstLineChars="200"/>
        <w:outlineLvl w:val="0"/>
        <w:rPr>
          <w:rFonts w:ascii="宋体" w:hAnsi="宋体"/>
          <w:bCs/>
          <w:color w:val="000000"/>
          <w:sz w:val="24"/>
          <w:szCs w:val="21"/>
        </w:rPr>
      </w:pPr>
      <w:r>
        <w:rPr>
          <w:rFonts w:hint="eastAsia" w:ascii="宋体" w:hAnsi="宋体"/>
          <w:bCs/>
          <w:color w:val="000000"/>
          <w:sz w:val="24"/>
          <w:szCs w:val="21"/>
        </w:rPr>
        <w:t>专业带头人1～2人，具有副高及以上职称的双师型专任教师，能够较好地把握国内外临床医学行业、专业发展，能广泛联系医疗机构，了解行业和用人单位对本专业人才的需求实际，教学设计、三教改革、专业研究能力强，组织开展教科研工作能力强，能对本专业学生进行专业教育，指导本专业学生学习、实习等，在本区域或本领域内具有一定的专业影响力。</w:t>
      </w:r>
    </w:p>
    <w:p>
      <w:pPr>
        <w:spacing w:line="360" w:lineRule="auto"/>
        <w:ind w:firstLine="482" w:firstLineChars="200"/>
        <w:outlineLvl w:val="0"/>
        <w:rPr>
          <w:rFonts w:ascii="宋体" w:hAnsi="宋体"/>
          <w:b/>
          <w:bCs/>
          <w:color w:val="000000"/>
          <w:sz w:val="24"/>
          <w:szCs w:val="21"/>
        </w:rPr>
      </w:pPr>
      <w:r>
        <w:rPr>
          <w:rFonts w:hint="eastAsia" w:ascii="宋体" w:hAnsi="宋体"/>
          <w:b/>
          <w:bCs/>
          <w:color w:val="000000"/>
          <w:sz w:val="24"/>
          <w:szCs w:val="21"/>
        </w:rPr>
        <w:t>4.兼职教师</w:t>
      </w:r>
    </w:p>
    <w:p>
      <w:pPr>
        <w:spacing w:line="360" w:lineRule="auto"/>
        <w:ind w:firstLine="480" w:firstLineChars="200"/>
        <w:outlineLvl w:val="0"/>
        <w:rPr>
          <w:rFonts w:ascii="宋体" w:hAnsi="宋体"/>
          <w:bCs/>
          <w:color w:val="000000"/>
          <w:sz w:val="24"/>
          <w:szCs w:val="21"/>
        </w:rPr>
      </w:pPr>
      <w:r>
        <w:rPr>
          <w:rFonts w:hint="eastAsia" w:ascii="宋体" w:hAnsi="宋体"/>
          <w:bCs/>
          <w:color w:val="000000"/>
          <w:sz w:val="24"/>
          <w:szCs w:val="21"/>
        </w:rPr>
        <w:t>兼职教师主要从医疗机构聘任，具备良好的思想政治素质、职业道德和工匠精神，具有扎实的专业知识和丰富的临床工作经验，具有中级及以上相关专业职称，热心从事教学工作，能承担专业课程教学、实训实习指导和学生职业发展规划指导等教学任务。</w:t>
      </w:r>
    </w:p>
    <w:p>
      <w:pPr>
        <w:spacing w:line="360" w:lineRule="auto"/>
        <w:ind w:firstLine="482" w:firstLineChars="200"/>
        <w:outlineLvl w:val="0"/>
        <w:rPr>
          <w:rFonts w:ascii="宋体" w:hAnsi="宋体"/>
          <w:b/>
          <w:bCs/>
          <w:color w:val="000000"/>
          <w:sz w:val="24"/>
          <w:szCs w:val="21"/>
        </w:rPr>
      </w:pPr>
      <w:r>
        <w:rPr>
          <w:rFonts w:hint="eastAsia" w:ascii="宋体" w:hAnsi="宋体"/>
          <w:b/>
          <w:bCs/>
          <w:color w:val="000000"/>
          <w:sz w:val="24"/>
          <w:szCs w:val="21"/>
        </w:rPr>
        <w:t>5.校内实践教学指导教师</w:t>
      </w:r>
    </w:p>
    <w:p>
      <w:pPr>
        <w:spacing w:line="360" w:lineRule="auto"/>
        <w:ind w:firstLine="480" w:firstLineChars="200"/>
        <w:outlineLvl w:val="0"/>
        <w:rPr>
          <w:rFonts w:ascii="宋体" w:hAnsi="宋体"/>
          <w:bCs/>
          <w:color w:val="000000"/>
          <w:sz w:val="24"/>
          <w:szCs w:val="21"/>
        </w:rPr>
      </w:pPr>
      <w:r>
        <w:rPr>
          <w:rFonts w:hint="eastAsia" w:ascii="宋体" w:hAnsi="宋体"/>
          <w:bCs/>
          <w:color w:val="000000"/>
          <w:sz w:val="24"/>
          <w:szCs w:val="21"/>
        </w:rPr>
        <w:t>校内实践教学指导教师具有高校教师资格、本科及以上学历（学位）、初级及以上专业技术职称；专业核心课实践教学指导教师同时具有行业执业资格、初级及以上行业专业技术职称、1年以上从事本专业工作经历。具有扎实的专业知识、较强的专业实践能力和良好的职业道德，具有良好的带教意识，能合理开展线下、线上混合式实践教学，为学生讲授专业知识、指导实践操作、培养职业素养和信息技术素养。</w:t>
      </w:r>
    </w:p>
    <w:p>
      <w:pPr>
        <w:spacing w:line="360" w:lineRule="auto"/>
        <w:ind w:firstLine="482" w:firstLineChars="200"/>
        <w:outlineLvl w:val="0"/>
        <w:rPr>
          <w:rFonts w:ascii="宋体" w:hAnsi="宋体"/>
          <w:b/>
          <w:bCs/>
          <w:color w:val="000000"/>
          <w:sz w:val="24"/>
          <w:szCs w:val="21"/>
        </w:rPr>
      </w:pPr>
      <w:r>
        <w:rPr>
          <w:rFonts w:hint="eastAsia" w:ascii="宋体" w:hAnsi="宋体"/>
          <w:b/>
          <w:bCs/>
          <w:color w:val="000000"/>
          <w:sz w:val="24"/>
          <w:szCs w:val="21"/>
        </w:rPr>
        <w:t>（二）教学设施</w:t>
      </w:r>
    </w:p>
    <w:p>
      <w:pPr>
        <w:spacing w:line="360" w:lineRule="auto"/>
        <w:ind w:firstLine="480"/>
        <w:outlineLvl w:val="0"/>
        <w:rPr>
          <w:rFonts w:ascii="宋体" w:hAnsi="宋体"/>
          <w:bCs/>
          <w:color w:val="000000"/>
          <w:sz w:val="24"/>
          <w:szCs w:val="21"/>
        </w:rPr>
      </w:pPr>
      <w:r>
        <w:rPr>
          <w:rFonts w:hint="eastAsia" w:ascii="宋体" w:hAnsi="宋体"/>
          <w:bCs/>
          <w:color w:val="000000"/>
          <w:sz w:val="24"/>
          <w:szCs w:val="21"/>
        </w:rPr>
        <w:t>教学设施主要包括能够满足正常课程教学、实验实训、实习所需的专业教室、校内实验实训室、校外实训实习基地、信息化教学设施等。通过校企合作，建立具有真实职业氛围、设备先进、充分满足实验实训教学需要的校内实验实训基地，建立稳定的、实习条件优良、充分满足教学见习、实习需要的校外实训实习基地。</w:t>
      </w:r>
    </w:p>
    <w:p>
      <w:pPr>
        <w:spacing w:line="360" w:lineRule="auto"/>
        <w:ind w:firstLine="480"/>
        <w:outlineLvl w:val="0"/>
        <w:rPr>
          <w:rFonts w:ascii="宋体" w:hAnsi="宋体"/>
          <w:b/>
          <w:bCs/>
          <w:color w:val="000000"/>
          <w:sz w:val="24"/>
          <w:szCs w:val="21"/>
        </w:rPr>
      </w:pPr>
      <w:r>
        <w:rPr>
          <w:rFonts w:hint="eastAsia" w:ascii="宋体" w:hAnsi="宋体"/>
          <w:b/>
          <w:bCs/>
          <w:color w:val="000000"/>
          <w:sz w:val="24"/>
          <w:szCs w:val="21"/>
        </w:rPr>
        <w:t>1.专业教室基本条件</w:t>
      </w:r>
    </w:p>
    <w:p>
      <w:pPr>
        <w:spacing w:line="360" w:lineRule="auto"/>
        <w:ind w:firstLine="480"/>
        <w:outlineLvl w:val="0"/>
        <w:rPr>
          <w:rFonts w:ascii="宋体" w:hAnsi="宋体"/>
          <w:bCs/>
          <w:color w:val="000000"/>
          <w:sz w:val="24"/>
          <w:szCs w:val="21"/>
        </w:rPr>
      </w:pPr>
      <w:r>
        <w:rPr>
          <w:rFonts w:hint="eastAsia" w:ascii="宋体" w:hAnsi="宋体"/>
          <w:bCs/>
          <w:color w:val="000000"/>
          <w:sz w:val="24"/>
          <w:szCs w:val="21"/>
        </w:rPr>
        <w:t>专业教室配备黑（白）板、多媒体计算机、投影设备、音响设备，互联网接入或 Wi-Fi环境，并实施网络安全防护措施；每间教室及走廊都安装应急照明装置、电子监控装置并保持良好状态，符合紧急疏散要求，标志明显，保持逃生通道畅通无阻。</w:t>
      </w:r>
    </w:p>
    <w:p>
      <w:pPr>
        <w:spacing w:line="360" w:lineRule="auto"/>
        <w:ind w:firstLine="480"/>
        <w:outlineLvl w:val="0"/>
        <w:rPr>
          <w:rFonts w:ascii="宋体" w:hAnsi="宋体"/>
          <w:b/>
          <w:bCs/>
          <w:color w:val="000000"/>
          <w:sz w:val="24"/>
          <w:szCs w:val="21"/>
        </w:rPr>
      </w:pPr>
      <w:r>
        <w:rPr>
          <w:rFonts w:hint="eastAsia" w:ascii="宋体" w:hAnsi="宋体"/>
          <w:b/>
          <w:bCs/>
          <w:color w:val="000000"/>
          <w:sz w:val="24"/>
          <w:szCs w:val="21"/>
        </w:rPr>
        <w:t>2.校内实验实训室基本要求</w:t>
      </w:r>
    </w:p>
    <w:p>
      <w:pPr>
        <w:spacing w:line="360" w:lineRule="auto"/>
        <w:ind w:firstLine="480"/>
        <w:outlineLvl w:val="0"/>
        <w:rPr>
          <w:rFonts w:ascii="宋体" w:hAnsi="宋体"/>
          <w:bCs/>
          <w:color w:val="000000"/>
          <w:sz w:val="24"/>
          <w:szCs w:val="21"/>
        </w:rPr>
      </w:pPr>
      <w:r>
        <w:rPr>
          <w:rFonts w:hint="eastAsia" w:ascii="宋体" w:hAnsi="宋体"/>
          <w:bCs/>
          <w:color w:val="000000"/>
          <w:sz w:val="24"/>
          <w:szCs w:val="21"/>
        </w:rPr>
        <w:t>根据课程设置配备相关校内实验实训室，制定严格、规范的管理制度，配有专职管理人员，有计划地对学生开放课外开放。实验实训室互联网接入或 Wi-Fi环境，并实施网络安全防护措施。照明、消防、安全、卫生等符合有关要求。</w:t>
      </w:r>
    </w:p>
    <w:p>
      <w:pPr>
        <w:spacing w:line="360" w:lineRule="auto"/>
        <w:ind w:firstLine="480"/>
        <w:outlineLvl w:val="0"/>
        <w:rPr>
          <w:rFonts w:ascii="宋体" w:hAnsi="宋体"/>
          <w:bCs/>
          <w:color w:val="000000"/>
          <w:sz w:val="24"/>
          <w:szCs w:val="21"/>
        </w:rPr>
      </w:pPr>
      <w:r>
        <w:rPr>
          <w:rFonts w:hint="eastAsia" w:ascii="宋体" w:hAnsi="宋体"/>
          <w:bCs/>
          <w:color w:val="000000"/>
          <w:sz w:val="24"/>
          <w:szCs w:val="21"/>
        </w:rPr>
        <w:t>（1）形态学综合实验实训中心</w:t>
      </w:r>
    </w:p>
    <w:p>
      <w:pPr>
        <w:spacing w:line="360" w:lineRule="auto"/>
        <w:ind w:firstLine="480"/>
        <w:outlineLvl w:val="0"/>
        <w:rPr>
          <w:rFonts w:ascii="宋体" w:hAnsi="宋体"/>
          <w:bCs/>
          <w:color w:val="000000"/>
          <w:sz w:val="24"/>
          <w:szCs w:val="21"/>
        </w:rPr>
      </w:pPr>
      <w:r>
        <w:rPr>
          <w:rFonts w:hint="eastAsia" w:ascii="宋体" w:hAnsi="宋体"/>
          <w:bCs/>
          <w:color w:val="000000"/>
          <w:sz w:val="24"/>
          <w:szCs w:val="21"/>
        </w:rPr>
        <w:t>以人体解剖学、组织胚胎学、病理学、病原微生物学等实验教学为主体，配置人体解剖台、人体解剖和胚胎标本与模型、组织病理切片、病原微生物切片、生物安全柜、高压蒸汽灭菌器、培养皿、光学显微镜、数码显微互动系统、多媒体和虚拟仿真学习资源等。</w:t>
      </w:r>
    </w:p>
    <w:p>
      <w:pPr>
        <w:spacing w:line="360" w:lineRule="auto"/>
        <w:ind w:firstLine="480"/>
        <w:outlineLvl w:val="0"/>
        <w:rPr>
          <w:rFonts w:ascii="宋体" w:hAnsi="宋体"/>
          <w:bCs/>
          <w:color w:val="000000"/>
          <w:sz w:val="24"/>
          <w:szCs w:val="21"/>
        </w:rPr>
      </w:pPr>
      <w:r>
        <w:rPr>
          <w:rFonts w:hint="eastAsia" w:ascii="宋体" w:hAnsi="宋体"/>
          <w:bCs/>
          <w:color w:val="000000"/>
          <w:sz w:val="24"/>
          <w:szCs w:val="21"/>
        </w:rPr>
        <w:t>（2）机能学综合实验实训中心</w:t>
      </w:r>
    </w:p>
    <w:p>
      <w:pPr>
        <w:spacing w:line="360" w:lineRule="auto"/>
        <w:ind w:firstLine="480"/>
        <w:outlineLvl w:val="0"/>
        <w:rPr>
          <w:rFonts w:ascii="宋体" w:hAnsi="宋体"/>
          <w:bCs/>
          <w:color w:val="000000"/>
          <w:sz w:val="24"/>
          <w:szCs w:val="21"/>
        </w:rPr>
      </w:pPr>
      <w:r>
        <w:rPr>
          <w:rFonts w:hint="eastAsia" w:ascii="宋体" w:hAnsi="宋体"/>
          <w:bCs/>
          <w:color w:val="000000"/>
          <w:sz w:val="24"/>
          <w:szCs w:val="21"/>
        </w:rPr>
        <w:t xml:space="preserve">以生理学、药理学等实验教学为主体，配置动物实验台、相应手术器械、心电图机和肺活量等生理指标测量设备、生物机能实验系统、生物信号采集设备、生物安全柜、模拟药房设置等。 </w:t>
      </w:r>
    </w:p>
    <w:p>
      <w:pPr>
        <w:spacing w:line="360" w:lineRule="auto"/>
        <w:ind w:firstLine="480"/>
        <w:outlineLvl w:val="0"/>
        <w:rPr>
          <w:rFonts w:ascii="宋体" w:hAnsi="宋体"/>
          <w:bCs/>
          <w:color w:val="000000"/>
          <w:sz w:val="24"/>
          <w:szCs w:val="21"/>
        </w:rPr>
      </w:pPr>
      <w:r>
        <w:rPr>
          <w:rFonts w:hint="eastAsia" w:ascii="宋体" w:hAnsi="宋体"/>
          <w:bCs/>
          <w:color w:val="000000"/>
          <w:sz w:val="24"/>
          <w:szCs w:val="21"/>
        </w:rPr>
        <w:t>（3）临床技能实训中心</w:t>
      </w:r>
    </w:p>
    <w:p>
      <w:pPr>
        <w:spacing w:line="360" w:lineRule="auto"/>
        <w:ind w:firstLine="480"/>
        <w:outlineLvl w:val="0"/>
        <w:rPr>
          <w:rFonts w:ascii="宋体" w:hAnsi="宋体"/>
          <w:bCs/>
          <w:color w:val="000000"/>
          <w:sz w:val="24"/>
          <w:szCs w:val="21"/>
        </w:rPr>
      </w:pPr>
      <w:r>
        <w:rPr>
          <w:rFonts w:hint="eastAsia" w:ascii="宋体" w:hAnsi="宋体"/>
          <w:bCs/>
          <w:color w:val="000000"/>
          <w:sz w:val="24"/>
          <w:szCs w:val="21"/>
        </w:rPr>
        <w:t>以诊断学、内科学、外科学、妇产科学、儿科学、护理技术等实践教学为主体，设置院内急救、院外急救等临床仿真实践环境，设置模拟病房、模拟外科手术、模拟产房等临床岗位实际工作情景，按区域功能配置相应实训操作设备，主要包括外科刷手室、模拟手术室、外科基本技能（切开、止血、清创、缝合、换药、拆线等）实训设备；心肺、胸腹部体检模拟系统，胸穿、腹穿、腰穿模拟人等内科及诊断学实训设备；模拟产房实训设备，产科腹部检查、骨盆测量、分娩机转和妇科检查等妇产科实训模型；儿童发育及营养测量设备；心肺复苏、外伤急救等模拟实训设备；静脉穿刺、胃管置入、导尿、吸氧、吸痰等护理技术实训设备。同时配置多媒体实践教学设施和智能化医学综合模拟系统、网络化急救医学情景仿真训练系统、高级成人医护教学系统、开放式妇产科医护辅助教学系统、多媒体观摩示教反示教系统等，涵盖执业助理医生临床实践技能考核基本操作项目标准化视频等教学资源，可组合形成客观结构化的临床技能考核（OSCE）体系。</w:t>
      </w:r>
    </w:p>
    <w:p>
      <w:pPr>
        <w:spacing w:line="360" w:lineRule="auto"/>
        <w:ind w:firstLine="480"/>
        <w:outlineLvl w:val="0"/>
        <w:rPr>
          <w:rFonts w:ascii="宋体" w:hAnsi="宋体"/>
          <w:b/>
          <w:bCs/>
          <w:color w:val="000000"/>
          <w:sz w:val="24"/>
          <w:szCs w:val="21"/>
        </w:rPr>
      </w:pPr>
      <w:r>
        <w:rPr>
          <w:rFonts w:hint="eastAsia" w:ascii="宋体" w:hAnsi="宋体"/>
          <w:b/>
          <w:bCs/>
          <w:color w:val="000000"/>
          <w:sz w:val="24"/>
          <w:szCs w:val="21"/>
        </w:rPr>
        <w:t>3.校外实训实习基地基本要求</w:t>
      </w:r>
    </w:p>
    <w:p>
      <w:pPr>
        <w:spacing w:line="360" w:lineRule="auto"/>
        <w:ind w:firstLine="480"/>
        <w:outlineLvl w:val="0"/>
        <w:rPr>
          <w:rFonts w:ascii="宋体" w:hAnsi="宋体"/>
          <w:bCs/>
          <w:color w:val="000000"/>
          <w:sz w:val="24"/>
          <w:szCs w:val="21"/>
        </w:rPr>
      </w:pPr>
      <w:r>
        <w:rPr>
          <w:rFonts w:hint="eastAsia" w:ascii="宋体" w:hAnsi="宋体"/>
          <w:bCs/>
          <w:color w:val="000000"/>
          <w:sz w:val="24"/>
          <w:szCs w:val="21"/>
        </w:rPr>
        <w:t>具有稳定的校外实习基地；能提供临床医疗和基本公共卫生服务等相关实习岗位，能涵盖当前医学专业发展的主流技术，可接纳一定规模的学生实习，配备相应数量的指导教师对学生实习进行指导和管理；有保证实习生日常工作、学习、生活的规章制度，有安全、保险保障。包括综合性医院和基层医疗卫生服务机构。</w:t>
      </w:r>
    </w:p>
    <w:p>
      <w:pPr>
        <w:spacing w:line="360" w:lineRule="auto"/>
        <w:ind w:firstLine="480"/>
        <w:outlineLvl w:val="0"/>
        <w:rPr>
          <w:rFonts w:ascii="宋体" w:hAnsi="宋体"/>
          <w:bCs/>
          <w:color w:val="000000"/>
          <w:sz w:val="24"/>
          <w:szCs w:val="21"/>
        </w:rPr>
      </w:pPr>
      <w:r>
        <w:rPr>
          <w:rFonts w:hint="eastAsia" w:ascii="宋体" w:hAnsi="宋体"/>
          <w:bCs/>
          <w:color w:val="000000"/>
          <w:sz w:val="24"/>
          <w:szCs w:val="21"/>
        </w:rPr>
        <w:t>综合性医院实训实习基地符合教育部、国家卫生健康委员会等部门颁布的有关文件要求，科室分类齐全，医疗设备、教学设备和技能培训中心等能够满足临床教学需要，有专门的临床教学管理部门和专职管理人员，制度健全，管理规范。包括二级甲等及以上的附属医院、教学医院、实习医院等综合性医院。</w:t>
      </w:r>
    </w:p>
    <w:p>
      <w:pPr>
        <w:spacing w:line="360" w:lineRule="auto"/>
        <w:ind w:firstLine="480"/>
        <w:outlineLvl w:val="0"/>
        <w:rPr>
          <w:rFonts w:ascii="宋体" w:hAnsi="宋体"/>
          <w:bCs/>
          <w:color w:val="000000"/>
          <w:sz w:val="24"/>
          <w:szCs w:val="21"/>
        </w:rPr>
      </w:pPr>
      <w:r>
        <w:rPr>
          <w:rFonts w:hint="eastAsia" w:ascii="宋体" w:hAnsi="宋体"/>
          <w:bCs/>
          <w:color w:val="000000"/>
          <w:sz w:val="24"/>
          <w:szCs w:val="21"/>
        </w:rPr>
        <w:t>附属医院和教学医院能够承担在校学生的专业理论课教学、临床见习和部分学生的实习带教任务，在校生均住院床位大于0.5张。实习医院用于实习教学的床位数不低于接纳本专业实习生总数量的5倍；具备教室、学生自习室等专门的临床教学场所，具备满足临床实践教学需要的图书资料和网络信息资源；提供基本的住宿、餐饮等生活条件和安全、保险保障。实习岗位包括内科、外科、妇产科、儿科、急诊科、感染科、五官科等科室的门诊和病房。</w:t>
      </w:r>
    </w:p>
    <w:p>
      <w:pPr>
        <w:spacing w:line="360" w:lineRule="auto"/>
        <w:ind w:firstLine="480"/>
        <w:outlineLvl w:val="0"/>
        <w:rPr>
          <w:rFonts w:ascii="宋体" w:hAnsi="宋体"/>
          <w:bCs/>
          <w:color w:val="000000"/>
          <w:sz w:val="24"/>
          <w:szCs w:val="21"/>
        </w:rPr>
      </w:pPr>
      <w:r>
        <w:rPr>
          <w:rFonts w:hint="eastAsia" w:ascii="宋体" w:hAnsi="宋体"/>
          <w:bCs/>
          <w:color w:val="000000"/>
          <w:sz w:val="24"/>
          <w:szCs w:val="21"/>
        </w:rPr>
        <w:t>基层医疗卫生服务机构实训实习基地包括乡镇卫生院和社区卫生服务中心，符合相关建设规范且具有一定的规模，服务人口不少于3万人，基本科室设置完备，服务项目齐全，有实习教学管理人员和带教人员，实习岗位包括基本医疗和基本公共卫生服务。</w:t>
      </w:r>
    </w:p>
    <w:p>
      <w:pPr>
        <w:spacing w:line="360" w:lineRule="auto"/>
        <w:ind w:firstLine="480"/>
        <w:outlineLvl w:val="0"/>
        <w:rPr>
          <w:rFonts w:ascii="宋体" w:hAnsi="宋体"/>
          <w:bCs/>
          <w:color w:val="000000"/>
          <w:sz w:val="24"/>
          <w:szCs w:val="21"/>
        </w:rPr>
      </w:pPr>
      <w:r>
        <w:rPr>
          <w:rFonts w:hint="eastAsia" w:ascii="宋体" w:hAnsi="宋体"/>
          <w:bCs/>
          <w:color w:val="000000"/>
          <w:sz w:val="24"/>
          <w:szCs w:val="21"/>
        </w:rPr>
        <w:t>实习带教人员（指导教师）具有行业执业资格、中级及以上专业技术职称、5年以上从事本专业工作经历，具有扎实的专业理论知识、较强的专业实践能力和良好的带教意识，经过相应的兼职教师培训，能按照实习计划（大纲）为实习学生讲授专业理论知识、训练专业技能、 培育职业素养、指导临床实践、评估实习效果、鉴定实习成绩，检查督促学生完成各项实习任务。</w:t>
      </w:r>
    </w:p>
    <w:p>
      <w:pPr>
        <w:spacing w:line="360" w:lineRule="auto"/>
        <w:ind w:firstLine="480"/>
        <w:outlineLvl w:val="0"/>
        <w:rPr>
          <w:b/>
        </w:rPr>
      </w:pPr>
      <w:r>
        <w:rPr>
          <w:rFonts w:hint="eastAsia" w:ascii="宋体" w:hAnsi="宋体"/>
          <w:b/>
          <w:bCs/>
          <w:color w:val="000000"/>
          <w:sz w:val="24"/>
          <w:szCs w:val="21"/>
        </w:rPr>
        <w:t>4.支持信息化教学方面的基本要求</w:t>
      </w:r>
    </w:p>
    <w:p>
      <w:pPr>
        <w:spacing w:line="360" w:lineRule="auto"/>
        <w:ind w:firstLine="480"/>
        <w:outlineLvl w:val="0"/>
        <w:rPr>
          <w:rFonts w:ascii="宋体" w:hAnsi="宋体"/>
          <w:bCs/>
          <w:color w:val="000000"/>
          <w:sz w:val="24"/>
          <w:szCs w:val="21"/>
        </w:rPr>
      </w:pPr>
      <w:r>
        <w:rPr>
          <w:rFonts w:hint="eastAsia" w:ascii="宋体" w:hAnsi="宋体"/>
          <w:bCs/>
          <w:color w:val="000000"/>
          <w:sz w:val="24"/>
          <w:szCs w:val="21"/>
        </w:rPr>
        <w:t>具有可利用的数字化教学资源库、文献资料、常见问题解答等信息化条件，鼓励教师开发并利用信息化教学资源、教学平台，创新教学方法，引导学生利用信息化教学条件自主学习，提升教学效果。</w:t>
      </w:r>
    </w:p>
    <w:p>
      <w:pPr>
        <w:spacing w:line="360" w:lineRule="auto"/>
        <w:ind w:firstLine="480"/>
        <w:outlineLvl w:val="0"/>
        <w:rPr>
          <w:rFonts w:ascii="宋体" w:hAnsi="宋体"/>
          <w:b/>
          <w:bCs/>
          <w:sz w:val="24"/>
          <w:szCs w:val="21"/>
        </w:rPr>
      </w:pPr>
      <w:r>
        <w:rPr>
          <w:rFonts w:hint="eastAsia" w:ascii="宋体" w:hAnsi="宋体"/>
          <w:b/>
          <w:bCs/>
          <w:sz w:val="24"/>
          <w:szCs w:val="21"/>
        </w:rPr>
        <w:t>（三）教学资源</w:t>
      </w:r>
    </w:p>
    <w:p>
      <w:pPr>
        <w:spacing w:line="360" w:lineRule="auto"/>
        <w:ind w:firstLine="480"/>
        <w:outlineLvl w:val="0"/>
        <w:rPr>
          <w:rFonts w:ascii="宋体" w:hAnsi="宋体"/>
          <w:bCs/>
          <w:sz w:val="24"/>
          <w:szCs w:val="21"/>
        </w:rPr>
      </w:pPr>
      <w:r>
        <w:rPr>
          <w:rFonts w:hint="eastAsia" w:ascii="宋体" w:hAnsi="宋体"/>
          <w:bCs/>
          <w:sz w:val="24"/>
          <w:szCs w:val="21"/>
        </w:rPr>
        <w:t>教学资源主要包括能够满足学生专业学习、教师专业教学研究和教学实施所需的教材、 图书文献及数字化教学资源等。</w:t>
      </w:r>
    </w:p>
    <w:p>
      <w:pPr>
        <w:spacing w:line="360" w:lineRule="auto"/>
        <w:ind w:firstLine="480"/>
        <w:outlineLvl w:val="0"/>
        <w:rPr>
          <w:rFonts w:ascii="宋体" w:hAnsi="宋体"/>
          <w:b/>
          <w:bCs/>
          <w:sz w:val="24"/>
          <w:szCs w:val="21"/>
        </w:rPr>
      </w:pPr>
      <w:r>
        <w:rPr>
          <w:rFonts w:hint="eastAsia" w:ascii="宋体" w:hAnsi="宋体"/>
          <w:b/>
          <w:bCs/>
          <w:sz w:val="24"/>
          <w:szCs w:val="21"/>
        </w:rPr>
        <w:t>1.教材选用基本要求</w:t>
      </w:r>
    </w:p>
    <w:p>
      <w:pPr>
        <w:spacing w:line="360" w:lineRule="auto"/>
        <w:ind w:firstLine="480"/>
        <w:outlineLvl w:val="0"/>
        <w:rPr>
          <w:rFonts w:ascii="宋体" w:hAnsi="宋体"/>
          <w:bCs/>
          <w:sz w:val="24"/>
          <w:szCs w:val="21"/>
        </w:rPr>
      </w:pPr>
      <w:r>
        <w:rPr>
          <w:rFonts w:hint="eastAsia" w:ascii="宋体" w:hAnsi="宋体"/>
          <w:bCs/>
          <w:sz w:val="24"/>
          <w:szCs w:val="21"/>
        </w:rPr>
        <w:t>按照国家规定选用优质教材，选用体现新知识、新技术、新规范的高质量教材，引入典型临床案例，禁止不合格的教材进入课堂。建立专业教师、行业专家和教研人员等参与的教材选用机构，具有完善的教材选用制度，经过规范程序择优选用教材。</w:t>
      </w:r>
    </w:p>
    <w:p>
      <w:pPr>
        <w:spacing w:line="360" w:lineRule="auto"/>
        <w:ind w:firstLine="480"/>
        <w:outlineLvl w:val="0"/>
        <w:rPr>
          <w:rFonts w:ascii="宋体" w:hAnsi="宋体"/>
          <w:b/>
          <w:bCs/>
          <w:sz w:val="24"/>
          <w:szCs w:val="21"/>
        </w:rPr>
      </w:pPr>
      <w:r>
        <w:rPr>
          <w:rFonts w:hint="eastAsia" w:ascii="宋体" w:hAnsi="宋体"/>
          <w:b/>
          <w:bCs/>
          <w:sz w:val="24"/>
          <w:szCs w:val="21"/>
        </w:rPr>
        <w:t>2.图书文献配备基本要求</w:t>
      </w:r>
    </w:p>
    <w:p>
      <w:pPr>
        <w:spacing w:line="360" w:lineRule="auto"/>
        <w:ind w:firstLine="480"/>
        <w:outlineLvl w:val="0"/>
        <w:rPr>
          <w:rFonts w:ascii="宋体" w:hAnsi="宋体"/>
          <w:bCs/>
          <w:sz w:val="24"/>
          <w:szCs w:val="21"/>
        </w:rPr>
      </w:pPr>
      <w:r>
        <w:rPr>
          <w:rFonts w:hint="eastAsia" w:ascii="宋体" w:hAnsi="宋体"/>
          <w:bCs/>
          <w:sz w:val="24"/>
          <w:szCs w:val="21"/>
        </w:rPr>
        <w:t xml:space="preserve">图书文献配备能满足人才培养、专业建设、教科研等工作的需要，方便师生查询、借阅。专业类图书文献主要包括：涵盖基础医学及临床医学各学科、卫生法规、执业(助理) 医师考试辅导等临床医学专业相关图书和一定数量的国内外专业期刊；具有满足本专业师生需要的电子图书、期刊、在线文献检索等电子阅览资源和设备。 </w:t>
      </w:r>
    </w:p>
    <w:p>
      <w:pPr>
        <w:spacing w:line="360" w:lineRule="auto"/>
        <w:ind w:firstLine="480"/>
        <w:outlineLvl w:val="0"/>
        <w:rPr>
          <w:rFonts w:ascii="宋体" w:hAnsi="宋体"/>
          <w:b/>
          <w:bCs/>
          <w:sz w:val="24"/>
          <w:szCs w:val="21"/>
        </w:rPr>
      </w:pPr>
      <w:r>
        <w:rPr>
          <w:rFonts w:hint="eastAsia" w:ascii="宋体" w:hAnsi="宋体"/>
          <w:b/>
          <w:bCs/>
          <w:sz w:val="24"/>
          <w:szCs w:val="21"/>
        </w:rPr>
        <w:t>3.数字教学资源配置基本要求</w:t>
      </w:r>
    </w:p>
    <w:p>
      <w:pPr>
        <w:spacing w:line="360" w:lineRule="auto"/>
        <w:ind w:firstLine="480"/>
        <w:outlineLvl w:val="0"/>
        <w:rPr>
          <w:rFonts w:ascii="宋体" w:hAnsi="宋体"/>
          <w:bCs/>
          <w:sz w:val="24"/>
          <w:szCs w:val="21"/>
        </w:rPr>
      </w:pPr>
      <w:r>
        <w:rPr>
          <w:rFonts w:hint="eastAsia" w:ascii="宋体" w:hAnsi="宋体"/>
          <w:bCs/>
          <w:sz w:val="24"/>
          <w:szCs w:val="21"/>
        </w:rPr>
        <w:t>配置与本专业相关的音像视频素材、教学课件、数字化教学案例库、数字化精品课程、虚拟仿真软件、数字化教材等专业教学资源库，如临床医学专业教学资源库、人民卫生出版社医学教学资源库、万方医学期刊数据库、超星期刊数据库、超星学习通教学资源库、智慧校园电子阅览资源库、中国知网数字化期刊、维普中文科技期刊数据库、维普考试资源系统、PubMed英文文献服务系统等，种类丰富、形式多样、使用便捷、动态更新，能满足教学要求。</w:t>
      </w:r>
    </w:p>
    <w:p>
      <w:pPr>
        <w:spacing w:line="360" w:lineRule="auto"/>
        <w:ind w:firstLine="480"/>
        <w:outlineLvl w:val="0"/>
        <w:rPr>
          <w:rFonts w:ascii="宋体" w:hAnsi="宋体"/>
          <w:b/>
          <w:bCs/>
          <w:sz w:val="24"/>
          <w:szCs w:val="21"/>
        </w:rPr>
      </w:pPr>
      <w:r>
        <w:rPr>
          <w:rFonts w:hint="eastAsia" w:ascii="宋体" w:hAnsi="宋体"/>
          <w:b/>
          <w:bCs/>
          <w:sz w:val="24"/>
          <w:szCs w:val="21"/>
        </w:rPr>
        <w:t>（四)教学方法</w:t>
      </w:r>
    </w:p>
    <w:p>
      <w:pPr>
        <w:spacing w:line="360" w:lineRule="auto"/>
        <w:ind w:firstLine="480"/>
        <w:outlineLvl w:val="0"/>
        <w:rPr>
          <w:rFonts w:ascii="宋体" w:hAnsi="宋体"/>
          <w:bCs/>
          <w:sz w:val="24"/>
          <w:szCs w:val="21"/>
        </w:rPr>
      </w:pPr>
      <w:r>
        <w:rPr>
          <w:rFonts w:hint="eastAsia" w:ascii="宋体" w:hAnsi="宋体"/>
          <w:bCs/>
          <w:sz w:val="24"/>
          <w:szCs w:val="21"/>
        </w:rPr>
        <w:t>线上线下混合教学，遵循职业教育、课程思政、技术技能人才成长和学生身心发展规律，以问题为中心，以行动为导向，采用项目驱动教学、案例教学、情景教学、角色扮演教学、翻转课堂教学、混合式教学、“教学做一体化”教学、仿真实训教学等，结合数字化教学方法，整合相关课程教学内容，整体设计教学活动，医教融合，院校共育，确保教学质量。</w:t>
      </w:r>
    </w:p>
    <w:p>
      <w:pPr>
        <w:spacing w:line="360" w:lineRule="auto"/>
        <w:ind w:firstLine="480"/>
        <w:outlineLvl w:val="0"/>
        <w:rPr>
          <w:rFonts w:ascii="宋体" w:hAnsi="宋体"/>
          <w:bCs/>
          <w:sz w:val="24"/>
          <w:szCs w:val="21"/>
        </w:rPr>
      </w:pPr>
      <w:r>
        <w:rPr>
          <w:rFonts w:hint="eastAsia" w:ascii="宋体" w:hAnsi="宋体"/>
          <w:b/>
          <w:bCs/>
          <w:sz w:val="24"/>
          <w:szCs w:val="21"/>
        </w:rPr>
        <w:t>（五)学习评价</w:t>
      </w:r>
    </w:p>
    <w:p>
      <w:pPr>
        <w:spacing w:line="360" w:lineRule="auto"/>
        <w:ind w:firstLine="480"/>
        <w:outlineLvl w:val="0"/>
        <w:rPr>
          <w:rFonts w:ascii="宋体" w:hAnsi="宋体"/>
          <w:bCs/>
          <w:sz w:val="24"/>
          <w:szCs w:val="21"/>
        </w:rPr>
      </w:pPr>
      <w:r>
        <w:rPr>
          <w:rFonts w:hint="eastAsia" w:ascii="宋体" w:hAnsi="宋体"/>
          <w:bCs/>
          <w:sz w:val="24"/>
          <w:szCs w:val="21"/>
        </w:rPr>
        <w:t>根据专业培养目标和培养规格、专业课程性质和特点，应健全科学的、多元化的课程考核评价体系，完善学生学习过程监测、评价与反馈机制，强化实践教学环节的全过程管理与考核评价，加大过程考核、实践技能考核成绩在课程总成绩中的比重，引导学生自我管理、主动学习，做到理论实践并举，德育技能双馨。</w:t>
      </w:r>
    </w:p>
    <w:p>
      <w:pPr>
        <w:spacing w:line="360" w:lineRule="auto"/>
        <w:ind w:firstLine="480"/>
        <w:outlineLvl w:val="0"/>
        <w:rPr>
          <w:rFonts w:ascii="宋体" w:hAnsi="宋体"/>
          <w:bCs/>
          <w:sz w:val="24"/>
          <w:szCs w:val="21"/>
        </w:rPr>
      </w:pPr>
      <w:r>
        <w:rPr>
          <w:rFonts w:hint="eastAsia" w:ascii="宋体" w:hAnsi="宋体"/>
          <w:bCs/>
          <w:sz w:val="24"/>
          <w:szCs w:val="21"/>
        </w:rPr>
        <w:t>积极推行课程“形成性评价”和“终结性评价”相结合，强调目标评价、理论与实践一体化评价，将课程考核嵌入学生学习过程，平时成绩占课程总成绩的30%～50%，分阶段对课程的理论和实践进行考核，充分发挥考核在教学中的引导、评价、反馈、激励作用，全面综合评价学生能力，促进教学质量的提高和教学改革的不断深入。</w:t>
      </w:r>
    </w:p>
    <w:p>
      <w:pPr>
        <w:spacing w:line="360" w:lineRule="auto"/>
        <w:ind w:firstLine="482" w:firstLineChars="200"/>
        <w:outlineLvl w:val="0"/>
        <w:rPr>
          <w:rFonts w:ascii="宋体" w:hAnsi="宋体"/>
          <w:bCs/>
          <w:sz w:val="24"/>
          <w:szCs w:val="21"/>
        </w:rPr>
      </w:pPr>
      <w:r>
        <w:rPr>
          <w:rFonts w:hint="eastAsia" w:ascii="宋体" w:hAnsi="宋体"/>
          <w:b/>
          <w:bCs/>
          <w:sz w:val="24"/>
          <w:szCs w:val="21"/>
        </w:rPr>
        <w:t>（六)质量保障</w:t>
      </w:r>
    </w:p>
    <w:p>
      <w:pPr>
        <w:spacing w:line="360" w:lineRule="auto"/>
        <w:jc w:val="left"/>
        <w:rPr>
          <w:rFonts w:ascii="宋体" w:hAnsi="宋体" w:cs="仿宋"/>
          <w:sz w:val="24"/>
          <w:szCs w:val="24"/>
        </w:rPr>
      </w:pPr>
      <w:r>
        <w:rPr>
          <w:rFonts w:hint="eastAsia" w:ascii="宋体" w:hAnsi="宋体" w:cs="仿宋"/>
          <w:sz w:val="24"/>
          <w:szCs w:val="24"/>
        </w:rPr>
        <w:t xml:space="preserve">    1.以习近平新时代中国特色社会主义思想为指导，以立德树人为根本任务，以 “十大育人体系”为基本架构，结合临床医疗和基本公共卫生服务的职业教育特点，思政课程与课程思政同向同行协同育人，规范人才培养全过程。 </w:t>
      </w:r>
    </w:p>
    <w:p>
      <w:pPr>
        <w:spacing w:line="360" w:lineRule="auto"/>
        <w:ind w:firstLine="480" w:firstLineChars="200"/>
        <w:jc w:val="left"/>
        <w:rPr>
          <w:rFonts w:ascii="宋体" w:hAnsi="宋体" w:cs="仿宋"/>
          <w:sz w:val="24"/>
          <w:szCs w:val="24"/>
        </w:rPr>
      </w:pPr>
      <w:r>
        <w:rPr>
          <w:rFonts w:hint="eastAsia" w:ascii="宋体" w:hAnsi="宋体" w:cs="仿宋"/>
          <w:sz w:val="24"/>
          <w:szCs w:val="24"/>
        </w:rPr>
        <w:t>2.学校和系部建立专业建设和教学质量诊断与改进机制，制定专业教学质量监控管理制度，完善课堂教学、教学评价、实习实训、毕业设计以及专业调研、人才培养方案更新、资源建设等方面质量标准建设，通过教学实施、过程监控、质量评价和持续改进，达成人才培养规格。</w:t>
      </w:r>
    </w:p>
    <w:p>
      <w:pPr>
        <w:spacing w:line="360" w:lineRule="auto"/>
        <w:ind w:firstLine="480" w:firstLineChars="200"/>
        <w:jc w:val="left"/>
        <w:rPr>
          <w:rFonts w:ascii="宋体" w:hAnsi="宋体" w:cs="仿宋"/>
          <w:sz w:val="24"/>
          <w:szCs w:val="24"/>
        </w:rPr>
      </w:pPr>
      <w:r>
        <w:rPr>
          <w:rFonts w:hint="eastAsia" w:ascii="宋体" w:hAnsi="宋体" w:cs="仿宋"/>
          <w:sz w:val="24"/>
          <w:szCs w:val="24"/>
        </w:rPr>
        <w:t>3.医教结合，成立专业建设和教学指导委员会，进行整体教育教学指导。学校、系部具有完善的教学管理机制，加强日常教学组织运行与管理，定期开展课程建设水平和教学质量诊断与改进，建立巡课、听课、评教、评学等制度，建立与医疗机构联动的实践教学环节督导制度，严明教学纪律，强化教学组织功能，每学期定期开展公开课、示范课等教研活动，提高人才培养能力。</w:t>
      </w:r>
    </w:p>
    <w:p>
      <w:pPr>
        <w:spacing w:line="360" w:lineRule="auto"/>
        <w:ind w:firstLine="480" w:firstLineChars="200"/>
        <w:jc w:val="left"/>
        <w:rPr>
          <w:rFonts w:ascii="宋体" w:hAnsi="宋体" w:cs="仿宋"/>
          <w:sz w:val="24"/>
          <w:szCs w:val="24"/>
        </w:rPr>
      </w:pPr>
      <w:r>
        <w:rPr>
          <w:rFonts w:hint="eastAsia" w:ascii="宋体" w:hAnsi="宋体" w:cs="仿宋"/>
          <w:sz w:val="24"/>
          <w:szCs w:val="24"/>
        </w:rPr>
        <w:t>4.学校建立毕业生跟踪反馈机制及社会评价机制，并对生源情况、在校生学业水平、毕业生就业情况等进行综合分析，定期评价人才培养质量和培养目标达成情况，促进人才培养质量的提高和教学改革的不断深入。</w:t>
      </w:r>
    </w:p>
    <w:p>
      <w:pPr>
        <w:spacing w:line="360" w:lineRule="auto"/>
        <w:ind w:firstLine="480" w:firstLineChars="200"/>
        <w:jc w:val="left"/>
        <w:rPr>
          <w:rFonts w:ascii="宋体" w:hAnsi="宋体" w:cs="仿宋"/>
          <w:sz w:val="24"/>
          <w:szCs w:val="24"/>
        </w:rPr>
      </w:pPr>
      <w:r>
        <w:rPr>
          <w:rFonts w:hint="eastAsia" w:ascii="宋体" w:hAnsi="宋体" w:cs="仿宋"/>
          <w:sz w:val="24"/>
          <w:szCs w:val="24"/>
        </w:rPr>
        <w:t>5.综合分析评教评学、行业评价、社会评价等结果，深化产教融合、校企合作，深化“三全育人”、“三教”改革，持续提高人才培养质量。</w:t>
      </w:r>
    </w:p>
    <w:p>
      <w:pPr>
        <w:spacing w:line="360" w:lineRule="auto"/>
        <w:ind w:firstLine="482" w:firstLineChars="200"/>
        <w:jc w:val="left"/>
        <w:outlineLvl w:val="0"/>
        <w:rPr>
          <w:rFonts w:hint="eastAsia" w:ascii="宋体" w:hAnsi="宋体"/>
          <w:b/>
          <w:sz w:val="24"/>
          <w:szCs w:val="24"/>
        </w:rPr>
      </w:pPr>
      <w:bookmarkStart w:id="21" w:name="_Hlk50587581"/>
      <w:r>
        <w:rPr>
          <w:rFonts w:hint="eastAsia" w:ascii="宋体" w:hAnsi="宋体"/>
          <w:b/>
          <w:sz w:val="24"/>
          <w:szCs w:val="24"/>
          <w:lang w:eastAsia="zh-CN"/>
        </w:rPr>
        <w:t>九</w:t>
      </w:r>
      <w:r>
        <w:rPr>
          <w:rFonts w:hint="eastAsia" w:ascii="宋体" w:hAnsi="宋体"/>
          <w:b/>
          <w:sz w:val="24"/>
          <w:szCs w:val="24"/>
        </w:rPr>
        <w:t>、毕业要求</w:t>
      </w:r>
      <w:bookmarkEnd w:id="21"/>
    </w:p>
    <w:p>
      <w:pPr>
        <w:spacing w:line="360" w:lineRule="auto"/>
        <w:ind w:firstLine="482" w:firstLineChars="200"/>
        <w:jc w:val="left"/>
        <w:outlineLvl w:val="0"/>
        <w:rPr>
          <w:rFonts w:ascii="宋体" w:hAnsi="宋体"/>
          <w:b/>
          <w:sz w:val="24"/>
          <w:szCs w:val="24"/>
        </w:rPr>
      </w:pPr>
      <w:r>
        <w:rPr>
          <w:rFonts w:hint="eastAsia" w:ascii="宋体" w:hAnsi="宋体"/>
          <w:b/>
          <w:sz w:val="24"/>
          <w:szCs w:val="24"/>
        </w:rPr>
        <w:t>（一）毕业要求</w:t>
      </w:r>
    </w:p>
    <w:p>
      <w:pPr>
        <w:spacing w:line="360" w:lineRule="auto"/>
        <w:ind w:firstLine="480" w:firstLineChars="200"/>
        <w:jc w:val="left"/>
        <w:outlineLvl w:val="0"/>
        <w:rPr>
          <w:rFonts w:ascii="宋体" w:hAnsi="宋体"/>
          <w:sz w:val="24"/>
          <w:szCs w:val="24"/>
        </w:rPr>
      </w:pPr>
      <w:r>
        <w:rPr>
          <w:rFonts w:hint="eastAsia" w:ascii="宋体" w:hAnsi="宋体"/>
          <w:sz w:val="24"/>
          <w:szCs w:val="24"/>
        </w:rPr>
        <w:t>完成规定的各门理论课程和各项实践性环节的线上、线下学习，取得133学分才能获得毕业资格。</w:t>
      </w:r>
    </w:p>
    <w:p>
      <w:pPr>
        <w:spacing w:line="360" w:lineRule="auto"/>
        <w:ind w:firstLine="480" w:firstLineChars="200"/>
        <w:jc w:val="left"/>
        <w:outlineLvl w:val="0"/>
        <w:rPr>
          <w:rFonts w:ascii="宋体" w:hAnsi="宋体"/>
          <w:sz w:val="24"/>
          <w:szCs w:val="24"/>
        </w:rPr>
      </w:pPr>
      <w:r>
        <w:rPr>
          <w:rFonts w:hint="eastAsia" w:ascii="宋体" w:hAnsi="宋体"/>
          <w:sz w:val="24"/>
          <w:szCs w:val="24"/>
        </w:rPr>
        <w:t>学生必须参加为期至少720学时与临床医学专业对口工作岗位的毕业实习，并按相关要求提供毕业实习的材料以及个人实习总结报告，成绩达到合格以上。</w:t>
      </w:r>
    </w:p>
    <w:p>
      <w:pPr>
        <w:spacing w:line="360" w:lineRule="auto"/>
        <w:ind w:firstLine="482" w:firstLineChars="200"/>
        <w:jc w:val="left"/>
        <w:outlineLvl w:val="0"/>
        <w:rPr>
          <w:rFonts w:ascii="宋体" w:hAnsi="宋体"/>
          <w:b/>
          <w:sz w:val="24"/>
          <w:szCs w:val="24"/>
        </w:rPr>
      </w:pPr>
      <w:r>
        <w:rPr>
          <w:rFonts w:hint="eastAsia" w:ascii="宋体" w:hAnsi="宋体"/>
          <w:b/>
          <w:sz w:val="24"/>
          <w:szCs w:val="24"/>
        </w:rPr>
        <w:t>（二）职业证书</w:t>
      </w:r>
    </w:p>
    <w:p>
      <w:pPr>
        <w:spacing w:line="360" w:lineRule="auto"/>
        <w:ind w:firstLine="480" w:firstLineChars="200"/>
        <w:jc w:val="left"/>
        <w:outlineLvl w:val="0"/>
        <w:rPr>
          <w:rFonts w:ascii="宋体" w:hAnsi="宋体"/>
          <w:sz w:val="24"/>
          <w:szCs w:val="24"/>
        </w:rPr>
      </w:pPr>
      <w:r>
        <w:rPr>
          <w:rFonts w:hint="eastAsia" w:ascii="宋体" w:hAnsi="宋体"/>
          <w:sz w:val="24"/>
          <w:szCs w:val="24"/>
        </w:rPr>
        <w:t>本专业面向职业资格证书包括执业助理医师资格证书、全科助理医师资格证书及职业相关的证书。</w:t>
      </w:r>
    </w:p>
    <w:p>
      <w:pPr>
        <w:spacing w:line="360" w:lineRule="auto"/>
        <w:ind w:firstLine="480" w:firstLineChars="200"/>
        <w:jc w:val="left"/>
        <w:outlineLvl w:val="0"/>
        <w:rPr>
          <w:rFonts w:ascii="宋体" w:hAnsi="宋体"/>
          <w:sz w:val="24"/>
          <w:szCs w:val="24"/>
        </w:rPr>
      </w:pPr>
      <w:r>
        <w:rPr>
          <w:rFonts w:hint="eastAsia" w:ascii="宋体" w:hAnsi="宋体"/>
          <w:sz w:val="24"/>
          <w:szCs w:val="24"/>
        </w:rPr>
        <w:t>根据《中华人民共和国执业医师法》规定，具有高等学校医学专科学历，在执业医师指导下，在医疗、预防、保健机构中试用期满一年，可参加国家统一考试获得临床执业助理医师资格证书；取得执业助理医师执业证书后，在医疗、预防、保健机构中工作满二年，可参加国家统一考试获得临床执业医师资格证书。</w:t>
      </w:r>
    </w:p>
    <w:p>
      <w:pPr>
        <w:spacing w:line="360" w:lineRule="auto"/>
        <w:ind w:firstLine="480" w:firstLineChars="200"/>
        <w:jc w:val="left"/>
        <w:outlineLvl w:val="0"/>
        <w:rPr>
          <w:rFonts w:ascii="宋体" w:hAnsi="宋体"/>
          <w:sz w:val="24"/>
          <w:szCs w:val="24"/>
        </w:rPr>
      </w:pPr>
      <w:r>
        <w:rPr>
          <w:rFonts w:hint="eastAsia" w:ascii="宋体" w:hAnsi="宋体"/>
          <w:sz w:val="24"/>
          <w:szCs w:val="24"/>
        </w:rPr>
        <w:t>根据《国务院关于建立全科医生制度的指导意见》规定，对符合条件的基层在岗执业医师或执业助理医师，按要求进行转岗培训，培训结束通过省统一考试获得全科医生转岗培训合格证书，可注册为全科医师或助理全科医师。</w:t>
      </w:r>
    </w:p>
    <w:p>
      <w:pPr>
        <w:spacing w:line="360" w:lineRule="auto"/>
        <w:ind w:firstLine="480" w:firstLineChars="200"/>
        <w:jc w:val="left"/>
        <w:outlineLvl w:val="0"/>
        <w:rPr>
          <w:rFonts w:ascii="宋体" w:hAnsi="宋体"/>
          <w:sz w:val="24"/>
          <w:szCs w:val="24"/>
        </w:rPr>
      </w:pPr>
      <w:r>
        <w:rPr>
          <w:rFonts w:hint="eastAsia" w:ascii="宋体" w:hAnsi="宋体"/>
          <w:sz w:val="24"/>
          <w:szCs w:val="24"/>
        </w:rPr>
        <w:t>学生毕业后可报考的职业资格证书详见表3。</w:t>
      </w:r>
    </w:p>
    <w:p>
      <w:pPr>
        <w:spacing w:line="360" w:lineRule="auto"/>
        <w:jc w:val="center"/>
        <w:outlineLvl w:val="0"/>
        <w:rPr>
          <w:rFonts w:ascii="宋体" w:hAnsi="宋体"/>
          <w:sz w:val="24"/>
          <w:szCs w:val="24"/>
        </w:rPr>
      </w:pPr>
      <w:r>
        <w:rPr>
          <w:rFonts w:hint="eastAsia" w:ascii="宋体" w:hAnsi="宋体" w:cs="宋体"/>
          <w:b/>
          <w:szCs w:val="21"/>
        </w:rPr>
        <w:t>表3  临床医学专业“1+X”证书一览表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153"/>
        <w:gridCol w:w="2383"/>
        <w:gridCol w:w="1923"/>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42" w:type="dxa"/>
            <w:shd w:val="clear" w:color="auto" w:fill="92D050"/>
            <w:vAlign w:val="center"/>
          </w:tcPr>
          <w:p>
            <w:pPr>
              <w:spacing w:line="360" w:lineRule="auto"/>
              <w:jc w:val="center"/>
              <w:rPr>
                <w:rFonts w:ascii="宋体" w:hAnsi="宋体"/>
                <w:kern w:val="0"/>
                <w:szCs w:val="21"/>
              </w:rPr>
            </w:pPr>
            <w:r>
              <w:rPr>
                <w:rFonts w:hint="eastAsia" w:ascii="宋体" w:hAnsi="宋体"/>
                <w:kern w:val="0"/>
                <w:szCs w:val="21"/>
              </w:rPr>
              <w:t>序号</w:t>
            </w:r>
          </w:p>
        </w:tc>
        <w:tc>
          <w:tcPr>
            <w:tcW w:w="2153" w:type="dxa"/>
            <w:shd w:val="clear" w:color="auto" w:fill="92D050"/>
            <w:vAlign w:val="center"/>
          </w:tcPr>
          <w:p>
            <w:pPr>
              <w:spacing w:line="360" w:lineRule="auto"/>
              <w:jc w:val="center"/>
              <w:rPr>
                <w:rFonts w:ascii="宋体" w:hAnsi="宋体"/>
                <w:kern w:val="0"/>
                <w:szCs w:val="21"/>
              </w:rPr>
            </w:pPr>
            <w:r>
              <w:rPr>
                <w:rFonts w:hint="eastAsia" w:ascii="宋体" w:hAnsi="宋体"/>
                <w:kern w:val="0"/>
                <w:szCs w:val="21"/>
              </w:rPr>
              <w:t>职业资格名称</w:t>
            </w:r>
          </w:p>
        </w:tc>
        <w:tc>
          <w:tcPr>
            <w:tcW w:w="2383" w:type="dxa"/>
            <w:shd w:val="clear" w:color="auto" w:fill="92D050"/>
            <w:vAlign w:val="center"/>
          </w:tcPr>
          <w:p>
            <w:pPr>
              <w:spacing w:line="360" w:lineRule="auto"/>
              <w:jc w:val="center"/>
              <w:rPr>
                <w:rFonts w:ascii="宋体" w:hAnsi="宋体"/>
                <w:kern w:val="0"/>
                <w:szCs w:val="21"/>
              </w:rPr>
            </w:pPr>
            <w:r>
              <w:rPr>
                <w:rFonts w:hint="eastAsia" w:ascii="宋体" w:hAnsi="宋体"/>
                <w:kern w:val="0"/>
                <w:szCs w:val="21"/>
              </w:rPr>
              <w:t>颁证单位</w:t>
            </w:r>
          </w:p>
        </w:tc>
        <w:tc>
          <w:tcPr>
            <w:tcW w:w="1923" w:type="dxa"/>
            <w:shd w:val="clear" w:color="auto" w:fill="92D050"/>
            <w:vAlign w:val="center"/>
          </w:tcPr>
          <w:p>
            <w:pPr>
              <w:spacing w:line="360" w:lineRule="auto"/>
              <w:jc w:val="center"/>
              <w:rPr>
                <w:rFonts w:ascii="宋体" w:hAnsi="宋体"/>
                <w:kern w:val="0"/>
                <w:szCs w:val="21"/>
              </w:rPr>
            </w:pPr>
            <w:r>
              <w:rPr>
                <w:rFonts w:hint="eastAsia" w:ascii="宋体" w:hAnsi="宋体"/>
                <w:kern w:val="0"/>
                <w:szCs w:val="21"/>
              </w:rPr>
              <w:t>等级</w:t>
            </w:r>
          </w:p>
        </w:tc>
        <w:tc>
          <w:tcPr>
            <w:tcW w:w="2153" w:type="dxa"/>
            <w:shd w:val="clear" w:color="auto" w:fill="92D050"/>
            <w:vAlign w:val="center"/>
          </w:tcPr>
          <w:p>
            <w:pPr>
              <w:spacing w:line="360" w:lineRule="auto"/>
              <w:jc w:val="center"/>
              <w:rPr>
                <w:rFonts w:ascii="宋体" w:hAnsi="宋体"/>
                <w:kern w:val="0"/>
                <w:szCs w:val="21"/>
              </w:rPr>
            </w:pPr>
            <w:r>
              <w:rPr>
                <w:rFonts w:hint="eastAsia" w:ascii="宋体" w:hAnsi="宋体"/>
                <w:kern w:val="0"/>
                <w:szCs w:val="21"/>
              </w:rPr>
              <w:t>考证选择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360" w:lineRule="auto"/>
              <w:jc w:val="center"/>
              <w:outlineLvl w:val="0"/>
              <w:rPr>
                <w:rFonts w:ascii="宋体" w:hAnsi="宋体"/>
                <w:szCs w:val="21"/>
              </w:rPr>
            </w:pPr>
            <w:r>
              <w:rPr>
                <w:rFonts w:hint="eastAsia" w:ascii="宋体" w:hAnsi="宋体"/>
                <w:szCs w:val="21"/>
              </w:rPr>
              <w:t>1</w:t>
            </w:r>
          </w:p>
        </w:tc>
        <w:tc>
          <w:tcPr>
            <w:tcW w:w="2153" w:type="dxa"/>
          </w:tcPr>
          <w:p>
            <w:pPr>
              <w:spacing w:line="360" w:lineRule="auto"/>
              <w:jc w:val="center"/>
              <w:outlineLvl w:val="0"/>
              <w:rPr>
                <w:rFonts w:ascii="宋体" w:hAnsi="宋体"/>
                <w:szCs w:val="21"/>
              </w:rPr>
            </w:pPr>
            <w:r>
              <w:rPr>
                <w:rFonts w:hint="eastAsia" w:ascii="宋体" w:hAnsi="宋体"/>
                <w:szCs w:val="21"/>
              </w:rPr>
              <w:t>执业助理医师</w:t>
            </w:r>
          </w:p>
        </w:tc>
        <w:tc>
          <w:tcPr>
            <w:tcW w:w="2383" w:type="dxa"/>
          </w:tcPr>
          <w:p>
            <w:pPr>
              <w:spacing w:line="360" w:lineRule="auto"/>
              <w:jc w:val="center"/>
              <w:outlineLvl w:val="0"/>
              <w:rPr>
                <w:rFonts w:ascii="宋体" w:hAnsi="宋体"/>
                <w:szCs w:val="21"/>
              </w:rPr>
            </w:pPr>
            <w:r>
              <w:rPr>
                <w:rFonts w:hint="eastAsia" w:ascii="宋体" w:hAnsi="宋体"/>
                <w:szCs w:val="21"/>
              </w:rPr>
              <w:t>国家卫生健康委员会</w:t>
            </w:r>
          </w:p>
        </w:tc>
        <w:tc>
          <w:tcPr>
            <w:tcW w:w="1923" w:type="dxa"/>
          </w:tcPr>
          <w:p>
            <w:pPr>
              <w:spacing w:line="360" w:lineRule="auto"/>
              <w:jc w:val="center"/>
              <w:outlineLvl w:val="0"/>
              <w:rPr>
                <w:rFonts w:ascii="宋体" w:hAnsi="宋体"/>
                <w:szCs w:val="21"/>
              </w:rPr>
            </w:pPr>
            <w:r>
              <w:rPr>
                <w:rFonts w:hint="eastAsia" w:ascii="宋体" w:hAnsi="宋体"/>
                <w:szCs w:val="21"/>
              </w:rPr>
              <w:t>准入</w:t>
            </w:r>
          </w:p>
        </w:tc>
        <w:tc>
          <w:tcPr>
            <w:tcW w:w="2153" w:type="dxa"/>
          </w:tcPr>
          <w:p>
            <w:pPr>
              <w:spacing w:line="360" w:lineRule="auto"/>
              <w:jc w:val="center"/>
              <w:outlineLvl w:val="0"/>
              <w:rPr>
                <w:rFonts w:ascii="宋体" w:hAnsi="宋体"/>
                <w:szCs w:val="21"/>
              </w:rPr>
            </w:pPr>
            <w:r>
              <w:rPr>
                <w:rFonts w:hint="eastAsia" w:ascii="宋体" w:hAnsi="宋体"/>
                <w:szCs w:val="21"/>
              </w:rPr>
              <w:t>必考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360" w:lineRule="auto"/>
              <w:jc w:val="center"/>
              <w:outlineLvl w:val="0"/>
              <w:rPr>
                <w:rFonts w:ascii="宋体" w:hAnsi="宋体"/>
                <w:szCs w:val="21"/>
              </w:rPr>
            </w:pPr>
            <w:r>
              <w:rPr>
                <w:rFonts w:hint="eastAsia" w:ascii="宋体" w:hAnsi="宋体"/>
                <w:szCs w:val="21"/>
              </w:rPr>
              <w:t>2</w:t>
            </w:r>
          </w:p>
        </w:tc>
        <w:tc>
          <w:tcPr>
            <w:tcW w:w="2153" w:type="dxa"/>
          </w:tcPr>
          <w:p>
            <w:pPr>
              <w:spacing w:line="360" w:lineRule="auto"/>
              <w:jc w:val="center"/>
              <w:outlineLvl w:val="0"/>
              <w:rPr>
                <w:rFonts w:ascii="宋体" w:hAnsi="宋体"/>
                <w:szCs w:val="21"/>
              </w:rPr>
            </w:pPr>
            <w:r>
              <w:rPr>
                <w:rFonts w:hint="eastAsia" w:ascii="宋体" w:hAnsi="宋体"/>
                <w:szCs w:val="21"/>
              </w:rPr>
              <w:t>全科助理医师</w:t>
            </w:r>
          </w:p>
        </w:tc>
        <w:tc>
          <w:tcPr>
            <w:tcW w:w="2383" w:type="dxa"/>
          </w:tcPr>
          <w:p>
            <w:pPr>
              <w:spacing w:line="360" w:lineRule="auto"/>
              <w:jc w:val="center"/>
              <w:outlineLvl w:val="0"/>
              <w:rPr>
                <w:rFonts w:ascii="宋体" w:hAnsi="宋体"/>
                <w:szCs w:val="21"/>
              </w:rPr>
            </w:pPr>
            <w:r>
              <w:rPr>
                <w:rFonts w:hint="eastAsia" w:ascii="宋体" w:hAnsi="宋体"/>
                <w:szCs w:val="21"/>
              </w:rPr>
              <w:t>国家卫生健康委员会</w:t>
            </w:r>
          </w:p>
        </w:tc>
        <w:tc>
          <w:tcPr>
            <w:tcW w:w="1923" w:type="dxa"/>
          </w:tcPr>
          <w:p>
            <w:pPr>
              <w:spacing w:line="360" w:lineRule="auto"/>
              <w:jc w:val="center"/>
              <w:outlineLvl w:val="0"/>
              <w:rPr>
                <w:rFonts w:ascii="宋体" w:hAnsi="宋体"/>
                <w:szCs w:val="21"/>
              </w:rPr>
            </w:pPr>
            <w:r>
              <w:rPr>
                <w:rFonts w:hint="eastAsia" w:ascii="宋体" w:hAnsi="宋体"/>
                <w:szCs w:val="21"/>
              </w:rPr>
              <w:t>转岗准入</w:t>
            </w:r>
          </w:p>
        </w:tc>
        <w:tc>
          <w:tcPr>
            <w:tcW w:w="2153" w:type="dxa"/>
          </w:tcPr>
          <w:p>
            <w:pPr>
              <w:spacing w:line="360" w:lineRule="auto"/>
              <w:jc w:val="center"/>
              <w:outlineLvl w:val="0"/>
              <w:rPr>
                <w:rFonts w:ascii="宋体" w:hAnsi="宋体"/>
                <w:szCs w:val="21"/>
              </w:rPr>
            </w:pPr>
            <w:r>
              <w:rPr>
                <w:rFonts w:hint="eastAsia" w:ascii="宋体" w:hAnsi="宋体"/>
                <w:szCs w:val="21"/>
              </w:rPr>
              <w:t>必考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360" w:lineRule="auto"/>
              <w:jc w:val="center"/>
              <w:outlineLvl w:val="0"/>
              <w:rPr>
                <w:rFonts w:ascii="宋体" w:hAnsi="宋体"/>
                <w:szCs w:val="21"/>
              </w:rPr>
            </w:pPr>
            <w:r>
              <w:rPr>
                <w:rFonts w:hint="eastAsia" w:ascii="宋体" w:hAnsi="宋体"/>
                <w:szCs w:val="21"/>
              </w:rPr>
              <w:t>3</w:t>
            </w:r>
          </w:p>
        </w:tc>
        <w:tc>
          <w:tcPr>
            <w:tcW w:w="2153" w:type="dxa"/>
          </w:tcPr>
          <w:p>
            <w:pPr>
              <w:spacing w:line="360" w:lineRule="auto"/>
              <w:jc w:val="center"/>
              <w:outlineLvl w:val="0"/>
              <w:rPr>
                <w:rFonts w:ascii="宋体" w:hAnsi="宋体"/>
                <w:szCs w:val="21"/>
              </w:rPr>
            </w:pPr>
            <w:r>
              <w:rPr>
                <w:rFonts w:hint="eastAsia" w:ascii="宋体" w:hAnsi="宋体"/>
                <w:szCs w:val="21"/>
              </w:rPr>
              <w:t>健康管理师</w:t>
            </w:r>
          </w:p>
        </w:tc>
        <w:tc>
          <w:tcPr>
            <w:tcW w:w="2383" w:type="dxa"/>
          </w:tcPr>
          <w:p>
            <w:pPr>
              <w:spacing w:line="360" w:lineRule="auto"/>
              <w:jc w:val="center"/>
              <w:outlineLvl w:val="0"/>
              <w:rPr>
                <w:rFonts w:ascii="宋体" w:hAnsi="宋体"/>
                <w:szCs w:val="21"/>
              </w:rPr>
            </w:pPr>
            <w:r>
              <w:rPr>
                <w:rFonts w:hint="eastAsia" w:ascii="宋体" w:hAnsi="宋体"/>
                <w:szCs w:val="21"/>
              </w:rPr>
              <w:t>国家卫生健康委员会</w:t>
            </w:r>
          </w:p>
        </w:tc>
        <w:tc>
          <w:tcPr>
            <w:tcW w:w="1923" w:type="dxa"/>
          </w:tcPr>
          <w:p>
            <w:pPr>
              <w:spacing w:line="360" w:lineRule="auto"/>
              <w:jc w:val="center"/>
              <w:outlineLvl w:val="0"/>
              <w:rPr>
                <w:rFonts w:ascii="宋体" w:hAnsi="宋体"/>
                <w:szCs w:val="21"/>
              </w:rPr>
            </w:pPr>
            <w:r>
              <w:rPr>
                <w:rFonts w:hint="eastAsia" w:ascii="宋体" w:hAnsi="宋体"/>
                <w:szCs w:val="21"/>
              </w:rPr>
              <w:t>三级</w:t>
            </w:r>
          </w:p>
        </w:tc>
        <w:tc>
          <w:tcPr>
            <w:tcW w:w="2153" w:type="dxa"/>
          </w:tcPr>
          <w:p>
            <w:pPr>
              <w:spacing w:line="360" w:lineRule="auto"/>
              <w:jc w:val="center"/>
              <w:outlineLvl w:val="0"/>
              <w:rPr>
                <w:rFonts w:ascii="宋体" w:hAnsi="宋体"/>
                <w:szCs w:val="21"/>
              </w:rPr>
            </w:pPr>
            <w:r>
              <w:rPr>
                <w:rFonts w:hint="eastAsia" w:ascii="宋体" w:hAnsi="宋体"/>
                <w:szCs w:val="21"/>
              </w:rPr>
              <w:t>选考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360" w:lineRule="auto"/>
              <w:jc w:val="center"/>
              <w:outlineLvl w:val="0"/>
              <w:rPr>
                <w:rFonts w:ascii="宋体" w:hAnsi="宋体"/>
                <w:szCs w:val="21"/>
              </w:rPr>
            </w:pPr>
            <w:r>
              <w:rPr>
                <w:rFonts w:hint="eastAsia" w:ascii="宋体" w:hAnsi="宋体"/>
                <w:szCs w:val="21"/>
              </w:rPr>
              <w:t>4</w:t>
            </w:r>
          </w:p>
        </w:tc>
        <w:tc>
          <w:tcPr>
            <w:tcW w:w="2153" w:type="dxa"/>
          </w:tcPr>
          <w:p>
            <w:pPr>
              <w:spacing w:line="360" w:lineRule="auto"/>
              <w:jc w:val="center"/>
              <w:outlineLvl w:val="0"/>
              <w:rPr>
                <w:rFonts w:ascii="宋体" w:hAnsi="宋体"/>
                <w:szCs w:val="21"/>
              </w:rPr>
            </w:pPr>
            <w:r>
              <w:rPr>
                <w:rFonts w:hint="eastAsia" w:ascii="宋体" w:hAnsi="宋体"/>
                <w:szCs w:val="21"/>
              </w:rPr>
              <w:t>公共营养师</w:t>
            </w:r>
          </w:p>
        </w:tc>
        <w:tc>
          <w:tcPr>
            <w:tcW w:w="2383" w:type="dxa"/>
          </w:tcPr>
          <w:p>
            <w:pPr>
              <w:spacing w:line="360" w:lineRule="auto"/>
              <w:jc w:val="center"/>
              <w:outlineLvl w:val="0"/>
              <w:rPr>
                <w:rFonts w:ascii="宋体" w:hAnsi="宋体"/>
                <w:szCs w:val="21"/>
              </w:rPr>
            </w:pPr>
            <w:r>
              <w:rPr>
                <w:rFonts w:hint="eastAsia" w:ascii="宋体" w:hAnsi="宋体"/>
                <w:szCs w:val="21"/>
              </w:rPr>
              <w:t>国家卫生健康委员会</w:t>
            </w:r>
          </w:p>
        </w:tc>
        <w:tc>
          <w:tcPr>
            <w:tcW w:w="1923" w:type="dxa"/>
          </w:tcPr>
          <w:p>
            <w:pPr>
              <w:spacing w:line="360" w:lineRule="auto"/>
              <w:jc w:val="center"/>
              <w:outlineLvl w:val="0"/>
              <w:rPr>
                <w:rFonts w:ascii="宋体" w:hAnsi="宋体"/>
                <w:szCs w:val="21"/>
              </w:rPr>
            </w:pPr>
            <w:r>
              <w:rPr>
                <w:rFonts w:hint="eastAsia" w:ascii="宋体" w:hAnsi="宋体"/>
                <w:szCs w:val="21"/>
              </w:rPr>
              <w:t>三级</w:t>
            </w:r>
          </w:p>
        </w:tc>
        <w:tc>
          <w:tcPr>
            <w:tcW w:w="2153" w:type="dxa"/>
          </w:tcPr>
          <w:p>
            <w:pPr>
              <w:spacing w:line="360" w:lineRule="auto"/>
              <w:jc w:val="center"/>
              <w:outlineLvl w:val="0"/>
              <w:rPr>
                <w:rFonts w:ascii="宋体" w:hAnsi="宋体"/>
                <w:szCs w:val="21"/>
              </w:rPr>
            </w:pPr>
            <w:r>
              <w:rPr>
                <w:rFonts w:hint="eastAsia" w:ascii="宋体" w:hAnsi="宋体"/>
                <w:szCs w:val="21"/>
              </w:rPr>
              <w:t>选考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360" w:lineRule="auto"/>
              <w:jc w:val="center"/>
              <w:outlineLvl w:val="0"/>
              <w:rPr>
                <w:rFonts w:ascii="宋体" w:hAnsi="宋体"/>
                <w:szCs w:val="21"/>
              </w:rPr>
            </w:pPr>
            <w:r>
              <w:rPr>
                <w:rFonts w:hint="eastAsia" w:ascii="宋体" w:hAnsi="宋体"/>
                <w:szCs w:val="21"/>
              </w:rPr>
              <w:t>5</w:t>
            </w:r>
          </w:p>
        </w:tc>
        <w:tc>
          <w:tcPr>
            <w:tcW w:w="2153" w:type="dxa"/>
          </w:tcPr>
          <w:p>
            <w:pPr>
              <w:spacing w:line="360" w:lineRule="auto"/>
              <w:jc w:val="center"/>
              <w:outlineLvl w:val="0"/>
              <w:rPr>
                <w:rFonts w:ascii="宋体" w:hAnsi="宋体"/>
                <w:szCs w:val="21"/>
              </w:rPr>
            </w:pPr>
            <w:r>
              <w:rPr>
                <w:rFonts w:hint="eastAsia" w:ascii="宋体" w:hAnsi="宋体"/>
                <w:szCs w:val="21"/>
              </w:rPr>
              <w:t>心理咨询师</w:t>
            </w:r>
          </w:p>
        </w:tc>
        <w:tc>
          <w:tcPr>
            <w:tcW w:w="2383" w:type="dxa"/>
          </w:tcPr>
          <w:p>
            <w:pPr>
              <w:spacing w:line="360" w:lineRule="auto"/>
              <w:jc w:val="center"/>
              <w:outlineLvl w:val="0"/>
              <w:rPr>
                <w:rFonts w:ascii="宋体" w:hAnsi="宋体"/>
                <w:szCs w:val="21"/>
              </w:rPr>
            </w:pPr>
            <w:r>
              <w:rPr>
                <w:rFonts w:hint="eastAsia" w:ascii="宋体" w:hAnsi="宋体"/>
                <w:kern w:val="0"/>
              </w:rPr>
              <w:t>人力资源和社会保障厅</w:t>
            </w:r>
          </w:p>
        </w:tc>
        <w:tc>
          <w:tcPr>
            <w:tcW w:w="1923" w:type="dxa"/>
          </w:tcPr>
          <w:p>
            <w:pPr>
              <w:spacing w:line="360" w:lineRule="auto"/>
              <w:jc w:val="center"/>
              <w:outlineLvl w:val="0"/>
              <w:rPr>
                <w:rFonts w:ascii="宋体" w:hAnsi="宋体"/>
                <w:szCs w:val="21"/>
              </w:rPr>
            </w:pPr>
            <w:r>
              <w:rPr>
                <w:rFonts w:hint="eastAsia" w:ascii="宋体" w:hAnsi="宋体"/>
                <w:szCs w:val="21"/>
              </w:rPr>
              <w:t>三级</w:t>
            </w:r>
          </w:p>
        </w:tc>
        <w:tc>
          <w:tcPr>
            <w:tcW w:w="2153" w:type="dxa"/>
          </w:tcPr>
          <w:p>
            <w:pPr>
              <w:spacing w:line="360" w:lineRule="auto"/>
              <w:jc w:val="center"/>
              <w:outlineLvl w:val="0"/>
              <w:rPr>
                <w:rFonts w:ascii="宋体" w:hAnsi="宋体"/>
                <w:szCs w:val="21"/>
              </w:rPr>
            </w:pPr>
            <w:r>
              <w:rPr>
                <w:rFonts w:hint="eastAsia" w:ascii="宋体" w:hAnsi="宋体"/>
                <w:szCs w:val="21"/>
              </w:rPr>
              <w:t>选考</w:t>
            </w:r>
          </w:p>
        </w:tc>
      </w:tr>
    </w:tbl>
    <w:p>
      <w:pPr>
        <w:spacing w:line="360" w:lineRule="auto"/>
        <w:ind w:firstLine="480"/>
        <w:outlineLvl w:val="0"/>
        <w:rPr>
          <w:rFonts w:hint="eastAsia" w:ascii="宋体" w:hAnsi="宋体"/>
          <w:b/>
          <w:bCs/>
          <w:color w:val="000000"/>
          <w:sz w:val="24"/>
          <w:szCs w:val="21"/>
        </w:rPr>
      </w:pPr>
    </w:p>
    <w:p>
      <w:pPr>
        <w:spacing w:line="360" w:lineRule="auto"/>
        <w:jc w:val="center"/>
        <w:rPr>
          <w:rFonts w:hint="eastAsia" w:ascii="宋体" w:hAnsi="宋体"/>
          <w:b/>
          <w:color w:val="000000"/>
          <w:sz w:val="24"/>
        </w:rPr>
      </w:pPr>
      <w:r>
        <w:rPr>
          <w:rFonts w:hint="eastAsia" w:ascii="宋体" w:hAnsi="宋体"/>
          <w:b/>
          <w:color w:val="000000"/>
          <w:sz w:val="24"/>
          <w:lang w:val="en-US" w:eastAsia="zh-CN"/>
        </w:rPr>
        <w:t xml:space="preserve">                                           </w:t>
      </w:r>
    </w:p>
    <w:p>
      <w:pPr>
        <w:spacing w:line="240" w:lineRule="atLeast"/>
        <w:rPr>
          <w:rFonts w:ascii="宋体" w:hAnsi="宋体"/>
          <w:b/>
          <w:sz w:val="22"/>
        </w:rPr>
      </w:pPr>
      <w:r>
        <w:rPr>
          <w:rFonts w:hint="eastAsia" w:ascii="宋体" w:hAnsi="宋体"/>
          <w:b/>
          <w:color w:val="000000"/>
          <w:sz w:val="24"/>
        </w:rPr>
        <w:t xml:space="preserve">       </w:t>
      </w:r>
    </w:p>
    <w:p>
      <w:pPr>
        <w:spacing w:line="240" w:lineRule="atLeast"/>
        <w:rPr>
          <w:rFonts w:ascii="宋体" w:hAnsi="宋体"/>
          <w:b/>
          <w:sz w:val="22"/>
        </w:rPr>
      </w:pPr>
    </w:p>
    <w:p>
      <w:pPr>
        <w:overflowPunct w:val="0"/>
        <w:adjustRightInd w:val="0"/>
        <w:spacing w:line="360" w:lineRule="auto"/>
        <w:ind w:firstLine="482" w:firstLineChars="200"/>
        <w:rPr>
          <w:rFonts w:hint="eastAsia" w:ascii="宋体" w:hAnsi="宋体" w:eastAsia="宋体" w:cs="华文仿宋"/>
          <w:b/>
          <w:bCs/>
          <w:sz w:val="24"/>
          <w:szCs w:val="24"/>
          <w:lang w:val="en-US" w:eastAsia="zh-CN"/>
        </w:rPr>
      </w:pPr>
      <w:r>
        <w:rPr>
          <w:rFonts w:hint="eastAsia" w:ascii="宋体" w:hAnsi="宋体" w:cs="华文仿宋"/>
          <w:b/>
          <w:bCs/>
          <w:sz w:val="24"/>
          <w:szCs w:val="24"/>
        </w:rPr>
        <w:t>附件</w:t>
      </w:r>
      <w:r>
        <w:rPr>
          <w:rFonts w:hint="eastAsia" w:ascii="宋体" w:hAnsi="宋体" w:cs="华文仿宋"/>
          <w:b/>
          <w:bCs/>
          <w:sz w:val="24"/>
          <w:szCs w:val="24"/>
          <w:lang w:val="en-US" w:eastAsia="zh-CN"/>
        </w:rPr>
        <w:t>1</w:t>
      </w:r>
    </w:p>
    <w:p>
      <w:pPr>
        <w:pStyle w:val="13"/>
        <w:widowControl/>
        <w:shd w:val="clear" w:color="auto" w:fill="FFFFFF"/>
        <w:spacing w:line="360" w:lineRule="atLeast"/>
        <w:ind w:firstLine="420"/>
        <w:jc w:val="center"/>
        <w:rPr>
          <w:rStyle w:val="17"/>
          <w:rFonts w:hint="eastAsia" w:ascii="宋体" w:hAnsi="宋体" w:cs="宋体"/>
          <w:color w:val="333333"/>
          <w:sz w:val="28"/>
          <w:szCs w:val="28"/>
          <w:shd w:val="clear" w:color="auto" w:fill="FFFFFF"/>
        </w:rPr>
      </w:pPr>
      <w:r>
        <w:rPr>
          <w:rStyle w:val="17"/>
          <w:rFonts w:hint="eastAsia" w:ascii="宋体" w:hAnsi="宋体" w:cs="宋体"/>
          <w:color w:val="333333"/>
          <w:sz w:val="28"/>
          <w:szCs w:val="28"/>
          <w:shd w:val="clear" w:color="auto" w:fill="FFFFFF"/>
        </w:rPr>
        <w:t>广东茂名健康职业学院</w:t>
      </w:r>
    </w:p>
    <w:p>
      <w:pPr>
        <w:pStyle w:val="13"/>
        <w:widowControl/>
        <w:shd w:val="clear" w:color="auto" w:fill="FFFFFF"/>
        <w:spacing w:line="360" w:lineRule="atLeast"/>
        <w:ind w:firstLine="420"/>
        <w:jc w:val="center"/>
        <w:rPr>
          <w:rFonts w:ascii="微软雅黑" w:hAnsi="微软雅黑" w:eastAsia="微软雅黑" w:cs="微软雅黑"/>
          <w:color w:val="1F1F1F"/>
          <w:sz w:val="28"/>
          <w:szCs w:val="28"/>
        </w:rPr>
      </w:pPr>
      <w:r>
        <w:rPr>
          <w:rStyle w:val="17"/>
          <w:rFonts w:hint="eastAsia" w:ascii="宋体" w:hAnsi="宋体" w:cs="宋体"/>
          <w:color w:val="333333"/>
          <w:sz w:val="28"/>
          <w:szCs w:val="28"/>
          <w:shd w:val="clear" w:color="auto" w:fill="FFFFFF"/>
        </w:rPr>
        <w:t>高职扩招类学生学分认定与转换实施办法（试行）</w:t>
      </w:r>
    </w:p>
    <w:p>
      <w:pPr>
        <w:pStyle w:val="13"/>
        <w:widowControl/>
        <w:shd w:val="clear" w:color="auto" w:fill="FFFFFF"/>
        <w:spacing w:line="480" w:lineRule="atLeast"/>
        <w:ind w:firstLine="562"/>
        <w:jc w:val="left"/>
        <w:rPr>
          <w:rFonts w:hint="eastAsia" w:ascii="微软雅黑" w:hAnsi="微软雅黑" w:eastAsia="微软雅黑" w:cs="微软雅黑"/>
          <w:sz w:val="24"/>
          <w:szCs w:val="24"/>
        </w:rPr>
      </w:pPr>
      <w:r>
        <w:rPr>
          <w:rFonts w:hint="eastAsia" w:ascii="宋体" w:hAnsi="宋体" w:cs="宋体"/>
          <w:sz w:val="24"/>
          <w:szCs w:val="24"/>
          <w:shd w:val="clear" w:color="auto" w:fill="FFFFFF"/>
        </w:rPr>
        <w:t>根据《教育部办公厅关于做好扩招后高职教育教学管理工作的指导意见》（教职成厅函[2019]20号）文件精神，对已有工作经历、相关培训经历、技术技能达到一定水平及在相关领域获得一定级别的奖项或荣誉称号的，经学校认定后可折算成相应学分或免修相应课程。为做好我院高职扩招教育教学管理工作，特制订此实施办法。</w:t>
      </w:r>
    </w:p>
    <w:p>
      <w:pPr>
        <w:pStyle w:val="13"/>
        <w:widowControl/>
        <w:shd w:val="clear" w:color="auto" w:fill="FFFFFF"/>
        <w:spacing w:line="480" w:lineRule="atLeast"/>
        <w:ind w:firstLine="641"/>
        <w:jc w:val="left"/>
        <w:rPr>
          <w:rFonts w:hint="eastAsia" w:ascii="微软雅黑" w:hAnsi="微软雅黑" w:eastAsia="微软雅黑" w:cs="微软雅黑"/>
          <w:sz w:val="24"/>
          <w:szCs w:val="24"/>
        </w:rPr>
      </w:pPr>
      <w:r>
        <w:rPr>
          <w:rFonts w:hint="eastAsia" w:ascii="宋体" w:hAnsi="宋体" w:cs="宋体"/>
          <w:b/>
          <w:bCs/>
          <w:sz w:val="24"/>
          <w:szCs w:val="24"/>
          <w:shd w:val="clear" w:color="auto" w:fill="FFFFFF"/>
        </w:rPr>
        <w:t>第一条</w:t>
      </w:r>
      <w:r>
        <w:rPr>
          <w:rFonts w:hint="eastAsia" w:ascii="宋体" w:hAnsi="宋体" w:cs="宋体"/>
          <w:sz w:val="24"/>
          <w:szCs w:val="24"/>
          <w:shd w:val="clear" w:color="auto" w:fill="FFFFFF"/>
        </w:rPr>
        <w:t xml:space="preserve">  学分认定与转换是指学生取得专业人才培养方案课程之外的各种能够体现资历、资格和能力的成果后，由学生本人提出申请，经一定的程序认定，可以转换人才培养方案中的相关课程（学分）。</w:t>
      </w:r>
    </w:p>
    <w:p>
      <w:pPr>
        <w:pStyle w:val="13"/>
        <w:widowControl/>
        <w:shd w:val="clear" w:color="auto" w:fill="FFFFFF"/>
        <w:spacing w:line="480" w:lineRule="atLeast"/>
        <w:ind w:firstLine="482" w:firstLineChars="200"/>
        <w:jc w:val="left"/>
        <w:rPr>
          <w:rFonts w:hint="eastAsia" w:ascii="微软雅黑" w:hAnsi="微软雅黑" w:eastAsia="微软雅黑" w:cs="微软雅黑"/>
          <w:sz w:val="24"/>
          <w:szCs w:val="24"/>
        </w:rPr>
      </w:pPr>
      <w:r>
        <w:rPr>
          <w:rFonts w:hint="eastAsia" w:ascii="宋体" w:hAnsi="宋体" w:cs="宋体"/>
          <w:b/>
          <w:bCs/>
          <w:sz w:val="24"/>
          <w:szCs w:val="24"/>
          <w:shd w:val="clear" w:color="auto" w:fill="FFFFFF"/>
        </w:rPr>
        <w:t xml:space="preserve">第二条 </w:t>
      </w:r>
      <w:r>
        <w:rPr>
          <w:rFonts w:hint="eastAsia" w:ascii="宋体" w:hAnsi="宋体" w:cs="宋体"/>
          <w:sz w:val="24"/>
          <w:szCs w:val="24"/>
          <w:shd w:val="clear" w:color="auto" w:fill="FFFFFF"/>
        </w:rPr>
        <w:t> 认定和转换的全部课程（学分）不得超过相关专业总课程门数（学分）的50%。内容相同或相近的国家职业资格证书、培训证书、竞赛奖励等成果，每个证书可转换相关专业课程不超过2门。思政类课程不允许转换。</w:t>
      </w:r>
    </w:p>
    <w:p>
      <w:pPr>
        <w:pStyle w:val="13"/>
        <w:widowControl/>
        <w:shd w:val="clear" w:color="auto" w:fill="FFFFFF"/>
        <w:spacing w:line="480" w:lineRule="atLeast"/>
        <w:ind w:firstLine="482" w:firstLineChars="200"/>
        <w:rPr>
          <w:rFonts w:hint="eastAsia" w:ascii="微软雅黑" w:hAnsi="微软雅黑" w:eastAsia="微软雅黑" w:cs="微软雅黑"/>
          <w:sz w:val="24"/>
          <w:szCs w:val="24"/>
        </w:rPr>
      </w:pPr>
      <w:r>
        <w:rPr>
          <w:rFonts w:hint="eastAsia" w:ascii="宋体" w:hAnsi="宋体" w:cs="宋体"/>
          <w:b/>
          <w:bCs/>
          <w:sz w:val="24"/>
          <w:szCs w:val="24"/>
          <w:shd w:val="clear" w:color="auto" w:fill="FFFFFF"/>
        </w:rPr>
        <w:t>第三条</w:t>
      </w:r>
      <w:r>
        <w:rPr>
          <w:rFonts w:hint="eastAsia" w:ascii="宋体" w:hAnsi="宋体" w:cs="宋体"/>
          <w:sz w:val="24"/>
          <w:szCs w:val="24"/>
          <w:shd w:val="clear" w:color="auto" w:fill="FFFFFF"/>
        </w:rPr>
        <w:t xml:space="preserve">  已具有国家教育系列中职(含技工教育)、高等教育自学考试及同等学力者，其所学课程与现有该类课程名称相同或相近，教学内容相关度达到80%，可认定和转换为对应课程（学分）。</w:t>
      </w:r>
    </w:p>
    <w:p>
      <w:pPr>
        <w:pStyle w:val="13"/>
        <w:widowControl/>
        <w:shd w:val="clear" w:color="auto" w:fill="FFFFFF"/>
        <w:spacing w:line="480" w:lineRule="atLeast"/>
        <w:ind w:firstLine="482" w:firstLineChars="200"/>
        <w:jc w:val="left"/>
        <w:rPr>
          <w:rFonts w:hint="eastAsia" w:ascii="微软雅黑" w:hAnsi="微软雅黑" w:eastAsia="微软雅黑" w:cs="微软雅黑"/>
          <w:sz w:val="24"/>
          <w:szCs w:val="24"/>
        </w:rPr>
      </w:pPr>
      <w:r>
        <w:rPr>
          <w:rFonts w:hint="eastAsia" w:ascii="宋体" w:hAnsi="宋体" w:cs="宋体"/>
          <w:b/>
          <w:bCs/>
          <w:sz w:val="24"/>
          <w:szCs w:val="24"/>
          <w:shd w:val="clear" w:color="auto" w:fill="FFFFFF"/>
        </w:rPr>
        <w:t>第四条</w:t>
      </w:r>
      <w:r>
        <w:rPr>
          <w:rFonts w:hint="eastAsia" w:ascii="宋体" w:hAnsi="宋体" w:cs="宋体"/>
          <w:sz w:val="24"/>
          <w:szCs w:val="24"/>
          <w:shd w:val="clear" w:color="auto" w:fill="FFFFFF"/>
        </w:rPr>
        <w:t xml:space="preserve">   凡符合学分认定与转换条件的学生，可在每学期期末向所在系部提出书面申请，填写《学分认定与转换申请表》（附件1），并附相关证明材料，由学生所在系部初审后填写汇总表后交教务部。</w:t>
      </w:r>
    </w:p>
    <w:p>
      <w:pPr>
        <w:pStyle w:val="13"/>
        <w:widowControl/>
        <w:shd w:val="clear" w:color="auto" w:fill="FFFFFF"/>
        <w:spacing w:line="480" w:lineRule="atLeast"/>
        <w:ind w:firstLine="641"/>
        <w:jc w:val="left"/>
        <w:rPr>
          <w:rFonts w:hint="eastAsia" w:ascii="微软雅黑" w:hAnsi="微软雅黑" w:eastAsia="微软雅黑" w:cs="微软雅黑"/>
          <w:sz w:val="24"/>
          <w:szCs w:val="24"/>
        </w:rPr>
      </w:pPr>
      <w:r>
        <w:rPr>
          <w:rFonts w:hint="eastAsia" w:ascii="宋体" w:hAnsi="宋体" w:cs="宋体"/>
          <w:b/>
          <w:bCs/>
          <w:sz w:val="24"/>
          <w:szCs w:val="24"/>
          <w:shd w:val="clear" w:color="auto" w:fill="FFFFFF"/>
        </w:rPr>
        <w:t>第五条</w:t>
      </w:r>
      <w:r>
        <w:rPr>
          <w:rFonts w:hint="eastAsia" w:ascii="宋体" w:hAnsi="宋体" w:cs="宋体"/>
          <w:sz w:val="24"/>
          <w:szCs w:val="24"/>
          <w:shd w:val="clear" w:color="auto" w:fill="FFFFFF"/>
        </w:rPr>
        <w:t xml:space="preserve">  根据学生所取得成果类型，由相关专业的系（部）成立专家组，由专家组对成果材料进行评审认定。教务部结合家组意见对学生成果进行课程转换，并将认定结果公示一周。成果认定要实行回避制度。</w:t>
      </w:r>
    </w:p>
    <w:p>
      <w:pPr>
        <w:pStyle w:val="13"/>
        <w:widowControl/>
        <w:shd w:val="clear" w:color="auto" w:fill="FFFFFF"/>
        <w:spacing w:line="480" w:lineRule="atLeast"/>
        <w:ind w:firstLine="641"/>
        <w:jc w:val="left"/>
        <w:rPr>
          <w:rFonts w:hint="eastAsia" w:ascii="微软雅黑" w:hAnsi="微软雅黑" w:eastAsia="微软雅黑" w:cs="微软雅黑"/>
          <w:sz w:val="24"/>
          <w:szCs w:val="24"/>
        </w:rPr>
      </w:pPr>
      <w:r>
        <w:rPr>
          <w:rFonts w:hint="eastAsia" w:ascii="宋体" w:hAnsi="宋体" w:cs="宋体"/>
          <w:b/>
          <w:bCs/>
          <w:sz w:val="24"/>
          <w:szCs w:val="24"/>
          <w:shd w:val="clear" w:color="auto" w:fill="FFFFFF"/>
        </w:rPr>
        <w:t>第六条</w:t>
      </w:r>
      <w:r>
        <w:rPr>
          <w:rFonts w:hint="eastAsia" w:ascii="宋体" w:hAnsi="宋体" w:cs="宋体"/>
          <w:sz w:val="24"/>
          <w:szCs w:val="24"/>
          <w:shd w:val="clear" w:color="auto" w:fill="FFFFFF"/>
        </w:rPr>
        <w:t> 建立成果学分转换范围动态管理机制。在实际操作过程中逐步建立《成果学分转换对应列表》（附件2）。成果学分转换对应列表根据教育教学实际情况进行动态增删，并于每学年初公布。</w:t>
      </w:r>
    </w:p>
    <w:p>
      <w:pPr>
        <w:pStyle w:val="13"/>
        <w:widowControl/>
        <w:shd w:val="clear" w:color="auto" w:fill="FFFFFF"/>
        <w:spacing w:line="480" w:lineRule="atLeast"/>
        <w:ind w:firstLine="641"/>
        <w:jc w:val="left"/>
        <w:rPr>
          <w:rFonts w:hint="eastAsia" w:ascii="微软雅黑" w:hAnsi="微软雅黑" w:eastAsia="微软雅黑" w:cs="微软雅黑"/>
          <w:sz w:val="24"/>
          <w:szCs w:val="24"/>
        </w:rPr>
      </w:pPr>
      <w:r>
        <w:rPr>
          <w:rFonts w:hint="eastAsia" w:ascii="宋体" w:hAnsi="宋体" w:cs="宋体"/>
          <w:b/>
          <w:bCs/>
          <w:sz w:val="24"/>
          <w:szCs w:val="24"/>
          <w:shd w:val="clear" w:color="auto" w:fill="FFFFFF"/>
        </w:rPr>
        <w:t>第七条</w:t>
      </w:r>
      <w:r>
        <w:rPr>
          <w:rFonts w:hint="eastAsia" w:ascii="宋体" w:hAnsi="宋体" w:cs="宋体"/>
          <w:sz w:val="24"/>
          <w:szCs w:val="24"/>
          <w:shd w:val="clear" w:color="auto" w:fill="FFFFFF"/>
        </w:rPr>
        <w:t> 本规定之外的其它特殊情况(如获特殊奖励)，可直接向教务部申请，由教务部组织相关专家进行审核认定。</w:t>
      </w:r>
    </w:p>
    <w:p/>
    <w:p>
      <w:pPr>
        <w:jc w:val="both"/>
        <w:rPr>
          <w:rFonts w:hint="eastAsia" w:ascii="宋体" w:hAnsi="宋体" w:cs="宋体"/>
          <w:b/>
          <w:kern w:val="0"/>
          <w:sz w:val="24"/>
        </w:rPr>
      </w:pPr>
    </w:p>
    <w:p>
      <w:pPr>
        <w:jc w:val="both"/>
        <w:rPr>
          <w:rFonts w:hint="eastAsia" w:ascii="宋体" w:hAnsi="宋体" w:cs="宋体"/>
          <w:b/>
          <w:kern w:val="0"/>
          <w:sz w:val="24"/>
        </w:rPr>
      </w:pPr>
    </w:p>
    <w:p>
      <w:pPr>
        <w:jc w:val="both"/>
        <w:rPr>
          <w:rFonts w:hint="eastAsia" w:ascii="宋体" w:hAnsi="宋体" w:cs="宋体"/>
          <w:b/>
          <w:kern w:val="0"/>
          <w:sz w:val="24"/>
        </w:rPr>
      </w:pPr>
    </w:p>
    <w:p>
      <w:pPr>
        <w:jc w:val="both"/>
        <w:rPr>
          <w:rFonts w:hint="eastAsia" w:ascii="宋体" w:hAnsi="宋体" w:cs="宋体"/>
          <w:b/>
          <w:kern w:val="0"/>
          <w:sz w:val="24"/>
        </w:rPr>
      </w:pPr>
    </w:p>
    <w:p>
      <w:pPr>
        <w:jc w:val="both"/>
        <w:rPr>
          <w:rFonts w:hint="eastAsia" w:ascii="宋体" w:hAnsi="宋体" w:cs="宋体"/>
          <w:b/>
          <w:kern w:val="0"/>
          <w:sz w:val="24"/>
        </w:rPr>
      </w:pPr>
      <w:r>
        <w:rPr>
          <w:rFonts w:hint="eastAsia" w:ascii="宋体" w:hAnsi="宋体" w:cs="宋体"/>
          <w:b/>
          <w:kern w:val="0"/>
          <w:sz w:val="24"/>
        </w:rPr>
        <w:t xml:space="preserve">附表1 </w:t>
      </w:r>
    </w:p>
    <w:p>
      <w:pPr>
        <w:jc w:val="center"/>
        <w:rPr>
          <w:rFonts w:hint="eastAsia"/>
          <w:b/>
          <w:bCs/>
          <w:sz w:val="28"/>
          <w:szCs w:val="28"/>
          <w:lang w:eastAsia="zh-CN"/>
        </w:rPr>
      </w:pPr>
      <w:r>
        <w:rPr>
          <w:rFonts w:hint="eastAsia"/>
          <w:b/>
          <w:bCs/>
          <w:sz w:val="28"/>
          <w:szCs w:val="28"/>
          <w:lang w:eastAsia="zh-CN"/>
        </w:rPr>
        <w:t>广东茂名健康职业学院学分认定与转换申请表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913"/>
        <w:gridCol w:w="787"/>
        <w:gridCol w:w="611"/>
        <w:gridCol w:w="1189"/>
        <w:gridCol w:w="1136"/>
        <w:gridCol w:w="1239"/>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noWrap w:val="0"/>
            <w:vAlign w:val="top"/>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姓名</w:t>
            </w:r>
          </w:p>
        </w:tc>
        <w:tc>
          <w:tcPr>
            <w:tcW w:w="913" w:type="dxa"/>
            <w:noWrap w:val="0"/>
            <w:vAlign w:val="top"/>
          </w:tcPr>
          <w:p>
            <w:pPr>
              <w:jc w:val="center"/>
              <w:rPr>
                <w:rFonts w:hint="eastAsia" w:ascii="宋体" w:hAnsi="宋体" w:eastAsia="宋体" w:cs="宋体"/>
                <w:b w:val="0"/>
                <w:bCs w:val="0"/>
                <w:sz w:val="24"/>
                <w:szCs w:val="24"/>
                <w:vertAlign w:val="baseline"/>
                <w:lang w:eastAsia="zh-CN"/>
              </w:rPr>
            </w:pPr>
          </w:p>
        </w:tc>
        <w:tc>
          <w:tcPr>
            <w:tcW w:w="787" w:type="dxa"/>
            <w:noWrap w:val="0"/>
            <w:vAlign w:val="top"/>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性别</w:t>
            </w:r>
          </w:p>
        </w:tc>
        <w:tc>
          <w:tcPr>
            <w:tcW w:w="611" w:type="dxa"/>
            <w:noWrap w:val="0"/>
            <w:vAlign w:val="top"/>
          </w:tcPr>
          <w:p>
            <w:pPr>
              <w:jc w:val="center"/>
              <w:rPr>
                <w:rFonts w:hint="eastAsia" w:ascii="宋体" w:hAnsi="宋体" w:eastAsia="宋体" w:cs="宋体"/>
                <w:b w:val="0"/>
                <w:bCs w:val="0"/>
                <w:sz w:val="24"/>
                <w:szCs w:val="24"/>
                <w:vertAlign w:val="baseline"/>
                <w:lang w:eastAsia="zh-CN"/>
              </w:rPr>
            </w:pPr>
          </w:p>
        </w:tc>
        <w:tc>
          <w:tcPr>
            <w:tcW w:w="1189" w:type="dxa"/>
            <w:noWrap w:val="0"/>
            <w:vAlign w:val="top"/>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学号</w:t>
            </w:r>
          </w:p>
        </w:tc>
        <w:tc>
          <w:tcPr>
            <w:tcW w:w="1136" w:type="dxa"/>
            <w:noWrap w:val="0"/>
            <w:vAlign w:val="top"/>
          </w:tcPr>
          <w:p>
            <w:pPr>
              <w:jc w:val="center"/>
              <w:rPr>
                <w:rFonts w:hint="eastAsia" w:ascii="宋体" w:hAnsi="宋体" w:eastAsia="宋体" w:cs="宋体"/>
                <w:b w:val="0"/>
                <w:bCs w:val="0"/>
                <w:sz w:val="24"/>
                <w:szCs w:val="24"/>
                <w:vertAlign w:val="baseline"/>
                <w:lang w:eastAsia="zh-CN"/>
              </w:rPr>
            </w:pPr>
          </w:p>
        </w:tc>
        <w:tc>
          <w:tcPr>
            <w:tcW w:w="1239" w:type="dxa"/>
            <w:noWrap w:val="0"/>
            <w:vAlign w:val="top"/>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专业班级</w:t>
            </w:r>
          </w:p>
        </w:tc>
        <w:tc>
          <w:tcPr>
            <w:tcW w:w="1086" w:type="dxa"/>
            <w:noWrap w:val="0"/>
            <w:vAlign w:val="top"/>
          </w:tcPr>
          <w:p>
            <w:pPr>
              <w:jc w:val="center"/>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noWrap w:val="0"/>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成果</w:t>
            </w:r>
          </w:p>
        </w:tc>
        <w:tc>
          <w:tcPr>
            <w:tcW w:w="6961" w:type="dxa"/>
            <w:gridSpan w:val="7"/>
            <w:noWrap w:val="0"/>
            <w:vAlign w:val="top"/>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成果形式：□学历证书类□继续教育□资格证书□培训证书类□业绩类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成果名称：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申请认定学分： </w:t>
            </w:r>
          </w:p>
          <w:p>
            <w:pPr>
              <w:jc w:val="both"/>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Merge w:val="restart"/>
            <w:noWrap w:val="0"/>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cs="宋体"/>
                <w:b w:val="0"/>
                <w:bCs w:val="0"/>
                <w:sz w:val="24"/>
                <w:szCs w:val="24"/>
                <w:vertAlign w:val="baseline"/>
                <w:lang w:eastAsia="zh-CN"/>
              </w:rPr>
              <w:t>拟转换课程和学分</w:t>
            </w:r>
          </w:p>
        </w:tc>
        <w:tc>
          <w:tcPr>
            <w:tcW w:w="1700" w:type="dxa"/>
            <w:gridSpan w:val="2"/>
            <w:noWrap w:val="0"/>
            <w:vAlign w:val="center"/>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课程名称</w:t>
            </w:r>
          </w:p>
        </w:tc>
        <w:tc>
          <w:tcPr>
            <w:tcW w:w="1800" w:type="dxa"/>
            <w:gridSpan w:val="2"/>
            <w:noWrap w:val="0"/>
            <w:vAlign w:val="center"/>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课程性质</w:t>
            </w:r>
          </w:p>
        </w:tc>
        <w:tc>
          <w:tcPr>
            <w:tcW w:w="1136" w:type="dxa"/>
            <w:noWrap w:val="0"/>
            <w:vAlign w:val="center"/>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学分</w:t>
            </w:r>
          </w:p>
        </w:tc>
        <w:tc>
          <w:tcPr>
            <w:tcW w:w="2325" w:type="dxa"/>
            <w:gridSpan w:val="2"/>
            <w:noWrap w:val="0"/>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color w:val="000000"/>
                <w:kern w:val="0"/>
                <w:sz w:val="24"/>
                <w:szCs w:val="24"/>
                <w:lang w:val="en-US" w:eastAsia="zh-CN" w:bidi="ar"/>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Merge w:val="continue"/>
            <w:noWrap w:val="0"/>
            <w:vAlign w:val="top"/>
          </w:tcPr>
          <w:p>
            <w:pPr>
              <w:jc w:val="center"/>
              <w:rPr>
                <w:rFonts w:hint="eastAsia" w:ascii="宋体" w:hAnsi="宋体" w:eastAsia="宋体" w:cs="宋体"/>
                <w:b w:val="0"/>
                <w:bCs w:val="0"/>
                <w:sz w:val="24"/>
                <w:szCs w:val="24"/>
                <w:vertAlign w:val="baseline"/>
                <w:lang w:eastAsia="zh-CN"/>
              </w:rPr>
            </w:pPr>
          </w:p>
        </w:tc>
        <w:tc>
          <w:tcPr>
            <w:tcW w:w="1700" w:type="dxa"/>
            <w:gridSpan w:val="2"/>
            <w:noWrap w:val="0"/>
            <w:vAlign w:val="center"/>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800" w:type="dxa"/>
            <w:gridSpan w:val="2"/>
            <w:noWrap w:val="0"/>
            <w:vAlign w:val="center"/>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136" w:type="dxa"/>
            <w:noWrap w:val="0"/>
            <w:vAlign w:val="center"/>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325" w:type="dxa"/>
            <w:gridSpan w:val="2"/>
            <w:noWrap w:val="0"/>
            <w:vAlign w:val="center"/>
          </w:tcPr>
          <w:p>
            <w:pPr>
              <w:jc w:val="center"/>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Merge w:val="continue"/>
            <w:noWrap w:val="0"/>
            <w:vAlign w:val="top"/>
          </w:tcPr>
          <w:p>
            <w:pPr>
              <w:jc w:val="center"/>
              <w:rPr>
                <w:rFonts w:hint="eastAsia" w:ascii="宋体" w:hAnsi="宋体" w:eastAsia="宋体" w:cs="宋体"/>
                <w:b w:val="0"/>
                <w:bCs w:val="0"/>
                <w:sz w:val="24"/>
                <w:szCs w:val="24"/>
                <w:vertAlign w:val="baseline"/>
                <w:lang w:eastAsia="zh-CN"/>
              </w:rPr>
            </w:pPr>
          </w:p>
        </w:tc>
        <w:tc>
          <w:tcPr>
            <w:tcW w:w="1700" w:type="dxa"/>
            <w:gridSpan w:val="2"/>
            <w:noWrap w:val="0"/>
            <w:vAlign w:val="center"/>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800" w:type="dxa"/>
            <w:gridSpan w:val="2"/>
            <w:noWrap w:val="0"/>
            <w:vAlign w:val="center"/>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136" w:type="dxa"/>
            <w:noWrap w:val="0"/>
            <w:vAlign w:val="center"/>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325" w:type="dxa"/>
            <w:gridSpan w:val="2"/>
            <w:noWrap w:val="0"/>
            <w:vAlign w:val="center"/>
          </w:tcPr>
          <w:p>
            <w:pPr>
              <w:jc w:val="center"/>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Merge w:val="continue"/>
            <w:noWrap w:val="0"/>
            <w:vAlign w:val="top"/>
          </w:tcPr>
          <w:p>
            <w:pPr>
              <w:jc w:val="center"/>
              <w:rPr>
                <w:rFonts w:hint="eastAsia" w:ascii="宋体" w:hAnsi="宋体" w:eastAsia="宋体" w:cs="宋体"/>
                <w:b w:val="0"/>
                <w:bCs w:val="0"/>
                <w:sz w:val="24"/>
                <w:szCs w:val="24"/>
                <w:vertAlign w:val="baseline"/>
                <w:lang w:eastAsia="zh-CN"/>
              </w:rPr>
            </w:pPr>
          </w:p>
        </w:tc>
        <w:tc>
          <w:tcPr>
            <w:tcW w:w="1700" w:type="dxa"/>
            <w:gridSpan w:val="2"/>
            <w:noWrap w:val="0"/>
            <w:vAlign w:val="center"/>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800" w:type="dxa"/>
            <w:gridSpan w:val="2"/>
            <w:noWrap w:val="0"/>
            <w:vAlign w:val="center"/>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136" w:type="dxa"/>
            <w:noWrap w:val="0"/>
            <w:vAlign w:val="center"/>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325" w:type="dxa"/>
            <w:gridSpan w:val="2"/>
            <w:noWrap w:val="0"/>
            <w:vAlign w:val="center"/>
          </w:tcPr>
          <w:p>
            <w:pPr>
              <w:jc w:val="center"/>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noWrap w:val="0"/>
            <w:vAlign w:val="center"/>
          </w:tcPr>
          <w:p>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申请理由</w:t>
            </w:r>
          </w:p>
          <w:p>
            <w:pPr>
              <w:jc w:val="center"/>
              <w:rPr>
                <w:rFonts w:hint="eastAsia" w:ascii="宋体" w:hAnsi="宋体" w:eastAsia="宋体" w:cs="宋体"/>
                <w:b w:val="0"/>
                <w:bCs w:val="0"/>
                <w:sz w:val="24"/>
                <w:szCs w:val="24"/>
                <w:vertAlign w:val="baseline"/>
                <w:lang w:eastAsia="zh-CN"/>
              </w:rPr>
            </w:pPr>
          </w:p>
        </w:tc>
        <w:tc>
          <w:tcPr>
            <w:tcW w:w="6961" w:type="dxa"/>
            <w:gridSpan w:val="7"/>
            <w:noWrap w:val="0"/>
            <w:vAlign w:val="top"/>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（对照本办法的相关规定陈述申请学分认定和转换的理由，可附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件） </w:t>
            </w:r>
          </w:p>
          <w:p>
            <w:pPr>
              <w:jc w:val="center"/>
              <w:rPr>
                <w:rFonts w:hint="eastAsia" w:ascii="宋体" w:hAnsi="宋体" w:eastAsia="宋体" w:cs="宋体"/>
                <w:b w:val="0"/>
                <w:bCs w:val="0"/>
                <w:sz w:val="24"/>
                <w:szCs w:val="24"/>
                <w:vertAlign w:val="baseline"/>
                <w:lang w:eastAsia="zh-CN"/>
              </w:rPr>
            </w:pPr>
          </w:p>
          <w:p>
            <w:pPr>
              <w:jc w:val="center"/>
              <w:rPr>
                <w:rFonts w:hint="eastAsia" w:ascii="宋体" w:hAnsi="宋体" w:eastAsia="宋体" w:cs="宋体"/>
                <w:b w:val="0"/>
                <w:bCs w:val="0"/>
                <w:sz w:val="24"/>
                <w:szCs w:val="24"/>
                <w:vertAlign w:val="baseline"/>
                <w:lang w:eastAsia="zh-CN"/>
              </w:rPr>
            </w:pPr>
          </w:p>
          <w:p>
            <w:pPr>
              <w:jc w:val="center"/>
              <w:rPr>
                <w:rFonts w:hint="eastAsia" w:ascii="宋体" w:hAnsi="宋体" w:eastAsia="宋体" w:cs="宋体"/>
                <w:b w:val="0"/>
                <w:bCs w:val="0"/>
                <w:sz w:val="24"/>
                <w:szCs w:val="24"/>
                <w:vertAlign w:val="baseline"/>
                <w:lang w:eastAsia="zh-CN"/>
              </w:rPr>
            </w:pPr>
          </w:p>
          <w:p>
            <w:pPr>
              <w:jc w:val="center"/>
              <w:rPr>
                <w:rFonts w:hint="eastAsia" w:ascii="宋体" w:hAnsi="宋体" w:eastAsia="宋体" w:cs="宋体"/>
                <w:b w:val="0"/>
                <w:bCs w:val="0"/>
                <w:sz w:val="24"/>
                <w:szCs w:val="24"/>
                <w:vertAlign w:val="baseline"/>
                <w:lang w:eastAsia="zh-CN"/>
              </w:rPr>
            </w:pPr>
          </w:p>
          <w:p>
            <w:pPr>
              <w:jc w:val="center"/>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noWrap w:val="0"/>
            <w:vAlign w:val="center"/>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证明材料</w:t>
            </w:r>
          </w:p>
          <w:p>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目录</w:t>
            </w:r>
          </w:p>
          <w:p>
            <w:pPr>
              <w:jc w:val="center"/>
              <w:rPr>
                <w:rFonts w:hint="eastAsia" w:ascii="宋体" w:hAnsi="宋体" w:eastAsia="宋体" w:cs="宋体"/>
                <w:b w:val="0"/>
                <w:bCs w:val="0"/>
                <w:sz w:val="24"/>
                <w:szCs w:val="24"/>
                <w:vertAlign w:val="baseline"/>
                <w:lang w:eastAsia="zh-CN"/>
              </w:rPr>
            </w:pPr>
          </w:p>
        </w:tc>
        <w:tc>
          <w:tcPr>
            <w:tcW w:w="6961" w:type="dxa"/>
            <w:gridSpan w:val="7"/>
            <w:noWrap w:val="0"/>
            <w:vAlign w:val="top"/>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（逐条列出证明材料名称并将材料附于表后，可附件）</w:t>
            </w:r>
          </w:p>
          <w:p>
            <w:pPr>
              <w:jc w:val="both"/>
              <w:rPr>
                <w:rFonts w:hint="eastAsia" w:ascii="宋体" w:hAnsi="宋体" w:eastAsia="宋体" w:cs="宋体"/>
                <w:b w:val="0"/>
                <w:bCs w:val="0"/>
                <w:sz w:val="24"/>
                <w:szCs w:val="24"/>
                <w:vertAlign w:val="baseline"/>
                <w:lang w:eastAsia="zh-CN"/>
              </w:rPr>
            </w:pPr>
          </w:p>
          <w:p>
            <w:pPr>
              <w:jc w:val="both"/>
              <w:rPr>
                <w:rFonts w:hint="eastAsia" w:ascii="宋体" w:hAnsi="宋体" w:eastAsia="宋体" w:cs="宋体"/>
                <w:b w:val="0"/>
                <w:bCs w:val="0"/>
                <w:sz w:val="24"/>
                <w:szCs w:val="24"/>
                <w:vertAlign w:val="baseline"/>
                <w:lang w:eastAsia="zh-CN"/>
              </w:rPr>
            </w:pPr>
          </w:p>
          <w:p>
            <w:pPr>
              <w:jc w:val="both"/>
              <w:rPr>
                <w:rFonts w:hint="eastAsia" w:ascii="宋体" w:hAnsi="宋体" w:eastAsia="宋体" w:cs="宋体"/>
                <w:b w:val="0"/>
                <w:bCs w:val="0"/>
                <w:sz w:val="24"/>
                <w:szCs w:val="24"/>
                <w:vertAlign w:val="baseline"/>
                <w:lang w:eastAsia="zh-CN"/>
              </w:rPr>
            </w:pPr>
          </w:p>
          <w:p>
            <w:pPr>
              <w:jc w:val="both"/>
              <w:rPr>
                <w:rFonts w:hint="eastAsia" w:ascii="宋体" w:hAnsi="宋体" w:eastAsia="宋体" w:cs="宋体"/>
                <w:b w:val="0"/>
                <w:bCs w:val="0"/>
                <w:sz w:val="24"/>
                <w:szCs w:val="24"/>
                <w:vertAlign w:val="baseline"/>
                <w:lang w:eastAsia="zh-CN"/>
              </w:rPr>
            </w:pPr>
          </w:p>
          <w:p>
            <w:pPr>
              <w:jc w:val="both"/>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noWrap w:val="0"/>
            <w:vAlign w:val="center"/>
          </w:tcPr>
          <w:p>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专家组</w:t>
            </w:r>
          </w:p>
          <w:p>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评审意见</w:t>
            </w:r>
          </w:p>
          <w:p>
            <w:pPr>
              <w:jc w:val="center"/>
              <w:rPr>
                <w:rFonts w:hint="eastAsia" w:ascii="宋体" w:hAnsi="宋体" w:eastAsia="宋体" w:cs="宋体"/>
                <w:b w:val="0"/>
                <w:bCs w:val="0"/>
                <w:sz w:val="24"/>
                <w:szCs w:val="24"/>
                <w:vertAlign w:val="baseline"/>
                <w:lang w:eastAsia="zh-CN"/>
              </w:rPr>
            </w:pPr>
          </w:p>
        </w:tc>
        <w:tc>
          <w:tcPr>
            <w:tcW w:w="6961" w:type="dxa"/>
            <w:gridSpan w:val="7"/>
            <w:noWrap w:val="0"/>
            <w:vAlign w:val="top"/>
          </w:tcPr>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ind w:firstLine="3600" w:firstLineChars="15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签名：        年   月   日</w:t>
            </w:r>
          </w:p>
          <w:p>
            <w:pPr>
              <w:jc w:val="both"/>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noWrap w:val="0"/>
            <w:vAlign w:val="center"/>
          </w:tcPr>
          <w:p>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教务处</w:t>
            </w:r>
          </w:p>
          <w:p>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认定意见</w:t>
            </w:r>
          </w:p>
          <w:p>
            <w:pPr>
              <w:jc w:val="center"/>
              <w:rPr>
                <w:rFonts w:hint="eastAsia" w:ascii="宋体" w:hAnsi="宋体" w:eastAsia="宋体" w:cs="宋体"/>
                <w:b w:val="0"/>
                <w:bCs w:val="0"/>
                <w:sz w:val="24"/>
                <w:szCs w:val="24"/>
                <w:vertAlign w:val="baseline"/>
                <w:lang w:eastAsia="zh-CN"/>
              </w:rPr>
            </w:pPr>
          </w:p>
        </w:tc>
        <w:tc>
          <w:tcPr>
            <w:tcW w:w="6961" w:type="dxa"/>
            <w:gridSpan w:val="7"/>
            <w:noWrap w:val="0"/>
            <w:vAlign w:val="top"/>
          </w:tcPr>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ind w:firstLine="3600" w:firstLineChars="15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签名：         年   月   日</w:t>
            </w:r>
          </w:p>
          <w:p>
            <w:pPr>
              <w:jc w:val="both"/>
              <w:rPr>
                <w:rFonts w:hint="eastAsia" w:ascii="宋体" w:hAnsi="宋体" w:eastAsia="宋体" w:cs="宋体"/>
                <w:b w:val="0"/>
                <w:bCs w:val="0"/>
                <w:sz w:val="24"/>
                <w:szCs w:val="24"/>
                <w:vertAlign w:val="baseline"/>
                <w:lang w:eastAsia="zh-CN"/>
              </w:rPr>
            </w:pPr>
          </w:p>
        </w:tc>
      </w:tr>
    </w:tbl>
    <w:p>
      <w:pPr>
        <w:keepNext w:val="0"/>
        <w:keepLines w:val="0"/>
        <w:widowControl/>
        <w:suppressLineNumbers w:val="0"/>
        <w:jc w:val="left"/>
        <w:rPr>
          <w:color w:val="auto"/>
          <w:sz w:val="24"/>
          <w:szCs w:val="24"/>
        </w:rPr>
      </w:pPr>
      <w:r>
        <w:rPr>
          <w:rFonts w:ascii="仿宋" w:hAnsi="仿宋" w:eastAsia="仿宋" w:cs="仿宋"/>
          <w:color w:val="auto"/>
          <w:kern w:val="0"/>
          <w:sz w:val="24"/>
          <w:szCs w:val="24"/>
          <w:lang w:val="en-US" w:eastAsia="zh-CN" w:bidi="ar"/>
        </w:rPr>
        <w:t xml:space="preserve">注：①课程性质填写：公共基础课（文化基础课）、专业课、公共选修课。 </w:t>
      </w:r>
    </w:p>
    <w:p>
      <w:pPr>
        <w:keepNext w:val="0"/>
        <w:keepLines w:val="0"/>
        <w:widowControl/>
        <w:suppressLineNumbers w:val="0"/>
        <w:jc w:val="left"/>
        <w:rPr>
          <w:color w:val="auto"/>
          <w:sz w:val="24"/>
          <w:szCs w:val="24"/>
        </w:rPr>
      </w:pPr>
      <w:r>
        <w:rPr>
          <w:rFonts w:hint="eastAsia" w:ascii="仿宋" w:hAnsi="仿宋" w:eastAsia="仿宋" w:cs="仿宋"/>
          <w:color w:val="auto"/>
          <w:kern w:val="0"/>
          <w:sz w:val="24"/>
          <w:szCs w:val="24"/>
          <w:lang w:val="en-US" w:eastAsia="zh-CN" w:bidi="ar"/>
        </w:rPr>
        <w:t xml:space="preserve">②证明材料包括：各类证书复印件，参赛证明，论文及所载刊物的封面、目录复印件等；社会实践活动证明。 </w:t>
      </w:r>
    </w:p>
    <w:p>
      <w:pPr>
        <w:keepNext w:val="0"/>
        <w:keepLines w:val="0"/>
        <w:widowControl/>
        <w:suppressLineNumbers w:val="0"/>
        <w:jc w:val="left"/>
        <w:rPr>
          <w:rFonts w:hint="eastAsia"/>
          <w:b/>
          <w:bCs/>
          <w:color w:val="auto"/>
          <w:sz w:val="24"/>
          <w:szCs w:val="24"/>
          <w:lang w:eastAsia="zh-CN"/>
        </w:rPr>
      </w:pPr>
      <w:r>
        <w:rPr>
          <w:rFonts w:hint="eastAsia" w:ascii="仿宋" w:hAnsi="仿宋" w:eastAsia="仿宋" w:cs="仿宋"/>
          <w:color w:val="auto"/>
          <w:kern w:val="0"/>
          <w:sz w:val="24"/>
          <w:szCs w:val="24"/>
          <w:lang w:val="en-US" w:eastAsia="zh-CN" w:bidi="ar"/>
        </w:rPr>
        <w:t>③此表一式两份，分别由教务处和学生所在系部保存。</w:t>
      </w:r>
    </w:p>
    <w:p/>
    <w:p>
      <w:pPr>
        <w:widowControl/>
        <w:shd w:val="clear" w:color="auto" w:fill="FFFFFF"/>
        <w:spacing w:line="360" w:lineRule="auto"/>
        <w:jc w:val="left"/>
        <w:rPr>
          <w:rFonts w:ascii="宋体" w:hAnsi="宋体" w:cs="Segoe UI"/>
          <w:b/>
          <w:color w:val="000000"/>
          <w:kern w:val="0"/>
          <w:sz w:val="24"/>
          <w:szCs w:val="24"/>
        </w:rPr>
      </w:pPr>
      <w:r>
        <w:rPr>
          <w:rFonts w:hint="eastAsia" w:ascii="宋体" w:hAnsi="宋体" w:cs="Segoe UI"/>
          <w:b/>
          <w:color w:val="000000"/>
          <w:kern w:val="0"/>
          <w:sz w:val="24"/>
        </w:rPr>
        <w:t> </w:t>
      </w:r>
      <w:r>
        <w:rPr>
          <w:rFonts w:hint="eastAsia" w:ascii="宋体" w:hAnsi="宋体" w:cs="Segoe UI"/>
          <w:b/>
          <w:color w:val="000000"/>
          <w:kern w:val="0"/>
          <w:sz w:val="24"/>
          <w:szCs w:val="24"/>
        </w:rPr>
        <w:t>附表2    成果学分转换对应列表</w:t>
      </w:r>
    </w:p>
    <w:tbl>
      <w:tblPr>
        <w:tblStyle w:val="14"/>
        <w:tblW w:w="4994"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0" w:type="dxa"/>
          <w:left w:w="0" w:type="dxa"/>
          <w:bottom w:w="0" w:type="dxa"/>
          <w:right w:w="0" w:type="dxa"/>
        </w:tblCellMar>
      </w:tblPr>
      <w:tblGrid>
        <w:gridCol w:w="807"/>
        <w:gridCol w:w="2293"/>
        <w:gridCol w:w="2547"/>
        <w:gridCol w:w="2452"/>
        <w:gridCol w:w="17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jc w:val="center"/>
        </w:trPr>
        <w:tc>
          <w:tcPr>
            <w:tcW w:w="410"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b/>
                <w:kern w:val="0"/>
                <w:sz w:val="24"/>
              </w:rPr>
            </w:pPr>
            <w:r>
              <w:rPr>
                <w:rFonts w:hint="eastAsia" w:ascii="宋体" w:hAnsi="宋体" w:cs="宋体"/>
                <w:b/>
                <w:kern w:val="0"/>
                <w:sz w:val="24"/>
              </w:rPr>
              <w:t>序号</w:t>
            </w:r>
          </w:p>
        </w:tc>
        <w:tc>
          <w:tcPr>
            <w:tcW w:w="1164"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b/>
                <w:kern w:val="0"/>
                <w:sz w:val="24"/>
              </w:rPr>
            </w:pPr>
            <w:r>
              <w:rPr>
                <w:rFonts w:hint="eastAsia" w:ascii="宋体" w:hAnsi="宋体" w:cs="宋体"/>
                <w:b/>
                <w:kern w:val="0"/>
                <w:sz w:val="24"/>
              </w:rPr>
              <w:t>成果形式</w:t>
            </w:r>
          </w:p>
        </w:tc>
        <w:tc>
          <w:tcPr>
            <w:tcW w:w="1293"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b/>
                <w:kern w:val="0"/>
                <w:sz w:val="24"/>
              </w:rPr>
            </w:pPr>
            <w:r>
              <w:rPr>
                <w:rFonts w:hint="eastAsia" w:ascii="宋体" w:hAnsi="宋体" w:cs="宋体"/>
                <w:b/>
                <w:kern w:val="0"/>
                <w:sz w:val="24"/>
              </w:rPr>
              <w:t>可转换课程（学分）</w:t>
            </w:r>
          </w:p>
        </w:tc>
        <w:tc>
          <w:tcPr>
            <w:tcW w:w="1245"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b/>
                <w:kern w:val="0"/>
                <w:sz w:val="24"/>
              </w:rPr>
            </w:pPr>
            <w:r>
              <w:rPr>
                <w:rFonts w:hint="eastAsia" w:ascii="宋体" w:hAnsi="宋体" w:cs="宋体"/>
                <w:b/>
                <w:kern w:val="0"/>
                <w:sz w:val="24"/>
              </w:rPr>
              <w:t>转换课程成绩记载</w:t>
            </w:r>
          </w:p>
        </w:tc>
        <w:tc>
          <w:tcPr>
            <w:tcW w:w="885"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b/>
                <w:kern w:val="0"/>
                <w:sz w:val="24"/>
              </w:rPr>
            </w:pPr>
            <w:r>
              <w:rPr>
                <w:rFonts w:hint="eastAsia" w:ascii="宋体" w:hAnsi="宋体" w:cs="宋体"/>
                <w:b/>
                <w:kern w:val="0"/>
                <w:sz w:val="24"/>
              </w:rPr>
              <w:t>认证材料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410"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1</w:t>
            </w:r>
          </w:p>
        </w:tc>
        <w:tc>
          <w:tcPr>
            <w:tcW w:w="1164"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职业资格证书</w:t>
            </w:r>
          </w:p>
        </w:tc>
        <w:tc>
          <w:tcPr>
            <w:tcW w:w="1293"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对应相关课程2门</w:t>
            </w:r>
          </w:p>
        </w:tc>
        <w:tc>
          <w:tcPr>
            <w:tcW w:w="1245"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95分</w:t>
            </w:r>
          </w:p>
        </w:tc>
        <w:tc>
          <w:tcPr>
            <w:tcW w:w="885" w:type="pct"/>
            <w:shd w:val="clear" w:color="auto" w:fill="FFFFFF"/>
            <w:noWrap w:val="0"/>
            <w:tcMar>
              <w:top w:w="0" w:type="dxa"/>
              <w:left w:w="108" w:type="dxa"/>
              <w:bottom w:w="0" w:type="dxa"/>
              <w:right w:w="108" w:type="dxa"/>
            </w:tcMar>
            <w:vAlign w:val="center"/>
          </w:tcPr>
          <w:p>
            <w:pPr>
              <w:jc w:val="left"/>
              <w:rPr>
                <w:rFonts w:hint="eastAsia" w:ascii="宋体" w:hAnsi="宋体" w:cs="宋体"/>
                <w:sz w:val="24"/>
              </w:rPr>
            </w:pPr>
            <w:r>
              <w:rPr>
                <w:rFonts w:hint="eastAsia" w:ascii="宋体" w:hAnsi="宋体" w:cs="宋体"/>
                <w:sz w:val="24"/>
              </w:rPr>
              <w:t>证书原件</w:t>
            </w:r>
          </w:p>
          <w:p>
            <w:pPr>
              <w:widowControl/>
              <w:spacing w:line="440" w:lineRule="exact"/>
              <w:jc w:val="left"/>
              <w:textAlignment w:val="center"/>
              <w:rPr>
                <w:rFonts w:hint="eastAsia" w:ascii="宋体" w:hAnsi="宋体" w:cs="宋体"/>
                <w:kern w:val="0"/>
                <w:sz w:val="24"/>
              </w:rPr>
            </w:pPr>
            <w:r>
              <w:rPr>
                <w:rFonts w:hint="eastAsia" w:ascii="宋体" w:hAnsi="宋体" w:cs="宋体"/>
                <w:sz w:val="24"/>
              </w:rPr>
              <w:t>要求：与专业相关的资格证书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410"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2</w:t>
            </w:r>
          </w:p>
        </w:tc>
        <w:tc>
          <w:tcPr>
            <w:tcW w:w="1164"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职业技能等级证</w:t>
            </w:r>
          </w:p>
        </w:tc>
        <w:tc>
          <w:tcPr>
            <w:tcW w:w="1293"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对应相关课程1门</w:t>
            </w:r>
          </w:p>
        </w:tc>
        <w:tc>
          <w:tcPr>
            <w:tcW w:w="1245"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初级：80分</w:t>
            </w:r>
          </w:p>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中级：85分</w:t>
            </w:r>
          </w:p>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高级：90分</w:t>
            </w:r>
          </w:p>
        </w:tc>
        <w:tc>
          <w:tcPr>
            <w:tcW w:w="885" w:type="pct"/>
            <w:shd w:val="clear" w:color="auto" w:fill="FFFFFF"/>
            <w:noWrap w:val="0"/>
            <w:tcMar>
              <w:top w:w="0" w:type="dxa"/>
              <w:left w:w="108" w:type="dxa"/>
              <w:bottom w:w="0" w:type="dxa"/>
              <w:right w:w="108" w:type="dxa"/>
            </w:tcMar>
            <w:vAlign w:val="center"/>
          </w:tcPr>
          <w:p>
            <w:pPr>
              <w:jc w:val="left"/>
              <w:rPr>
                <w:rFonts w:hint="eastAsia" w:ascii="宋体" w:hAnsi="宋体" w:cs="宋体"/>
                <w:sz w:val="24"/>
              </w:rPr>
            </w:pPr>
            <w:r>
              <w:rPr>
                <w:rFonts w:hint="eastAsia" w:ascii="宋体" w:hAnsi="宋体" w:cs="宋体"/>
                <w:sz w:val="24"/>
              </w:rPr>
              <w:t>证书原件</w:t>
            </w:r>
          </w:p>
          <w:p>
            <w:pPr>
              <w:widowControl/>
              <w:spacing w:line="440" w:lineRule="exact"/>
              <w:jc w:val="left"/>
              <w:textAlignment w:val="center"/>
              <w:rPr>
                <w:rFonts w:hint="eastAsia" w:ascii="宋体" w:hAnsi="宋体" w:cs="宋体"/>
                <w:kern w:val="0"/>
                <w:sz w:val="24"/>
              </w:rPr>
            </w:pPr>
            <w:r>
              <w:rPr>
                <w:rFonts w:hint="eastAsia" w:ascii="宋体" w:hAnsi="宋体" w:cs="宋体"/>
                <w:sz w:val="24"/>
              </w:rPr>
              <w:t>要求：与专业相关的职业技能等级证书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410"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3</w:t>
            </w:r>
          </w:p>
        </w:tc>
        <w:tc>
          <w:tcPr>
            <w:tcW w:w="1164"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1+X等级证书培训</w:t>
            </w:r>
          </w:p>
        </w:tc>
        <w:tc>
          <w:tcPr>
            <w:tcW w:w="1293"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对应相关课程1门</w:t>
            </w:r>
          </w:p>
        </w:tc>
        <w:tc>
          <w:tcPr>
            <w:tcW w:w="1245"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90分</w:t>
            </w:r>
          </w:p>
        </w:tc>
        <w:tc>
          <w:tcPr>
            <w:tcW w:w="885" w:type="pct"/>
            <w:shd w:val="clear" w:color="auto" w:fill="FFFFFF"/>
            <w:noWrap w:val="0"/>
            <w:tcMar>
              <w:top w:w="0" w:type="dxa"/>
              <w:left w:w="108" w:type="dxa"/>
              <w:bottom w:w="0" w:type="dxa"/>
              <w:right w:w="108" w:type="dxa"/>
            </w:tcMar>
            <w:vAlign w:val="center"/>
          </w:tcPr>
          <w:p>
            <w:pPr>
              <w:jc w:val="left"/>
              <w:rPr>
                <w:rFonts w:hint="eastAsia" w:ascii="宋体" w:hAnsi="宋体" w:cs="宋体"/>
                <w:sz w:val="24"/>
              </w:rPr>
            </w:pPr>
            <w:r>
              <w:rPr>
                <w:rFonts w:hint="eastAsia" w:ascii="宋体" w:hAnsi="宋体" w:cs="宋体"/>
                <w:sz w:val="24"/>
              </w:rPr>
              <w:t>证书原件</w:t>
            </w:r>
          </w:p>
          <w:p>
            <w:pPr>
              <w:widowControl/>
              <w:spacing w:line="440" w:lineRule="exact"/>
              <w:jc w:val="left"/>
              <w:textAlignment w:val="center"/>
              <w:rPr>
                <w:rFonts w:hint="eastAsia" w:ascii="宋体" w:hAnsi="宋体" w:cs="宋体"/>
                <w:kern w:val="0"/>
                <w:sz w:val="24"/>
              </w:rPr>
            </w:pPr>
            <w:r>
              <w:rPr>
                <w:rFonts w:hint="eastAsia" w:ascii="宋体" w:hAnsi="宋体" w:cs="宋体"/>
                <w:sz w:val="24"/>
              </w:rPr>
              <w:t>要求：与专业相关的1+X证书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410"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4</w:t>
            </w:r>
          </w:p>
        </w:tc>
        <w:tc>
          <w:tcPr>
            <w:tcW w:w="1164"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职业技能比赛获奖</w:t>
            </w:r>
          </w:p>
        </w:tc>
        <w:tc>
          <w:tcPr>
            <w:tcW w:w="1293"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对应相关课程1门</w:t>
            </w:r>
          </w:p>
        </w:tc>
        <w:tc>
          <w:tcPr>
            <w:tcW w:w="1245"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校级（企业）：一等奖85分，二等奖80分，三等奖75分</w:t>
            </w:r>
          </w:p>
          <w:p>
            <w:pPr>
              <w:widowControl/>
              <w:spacing w:line="440" w:lineRule="exact"/>
              <w:jc w:val="left"/>
              <w:textAlignment w:val="center"/>
              <w:rPr>
                <w:rFonts w:hint="eastAsia" w:ascii="宋体" w:hAnsi="宋体" w:cs="宋体"/>
                <w:kern w:val="0"/>
                <w:sz w:val="24"/>
              </w:rPr>
            </w:pPr>
            <w:r>
              <w:rPr>
                <w:rFonts w:hint="eastAsia" w:ascii="宋体" w:hAnsi="宋体" w:cs="宋体"/>
                <w:kern w:val="0"/>
                <w:sz w:val="24"/>
              </w:rPr>
              <w:t>市级：一等奖90分，二等奖85分，三等奖80分</w:t>
            </w:r>
          </w:p>
          <w:p>
            <w:pPr>
              <w:widowControl/>
              <w:spacing w:line="440" w:lineRule="exact"/>
              <w:jc w:val="left"/>
              <w:textAlignment w:val="center"/>
              <w:rPr>
                <w:rFonts w:hint="eastAsia" w:ascii="宋体" w:hAnsi="宋体" w:cs="宋体"/>
                <w:kern w:val="0"/>
                <w:sz w:val="24"/>
              </w:rPr>
            </w:pPr>
            <w:r>
              <w:rPr>
                <w:rFonts w:hint="eastAsia" w:ascii="宋体" w:hAnsi="宋体" w:cs="宋体"/>
                <w:kern w:val="0"/>
                <w:sz w:val="24"/>
              </w:rPr>
              <w:t>省级：一等奖95分，二等奖90分，三等奖85分</w:t>
            </w:r>
          </w:p>
          <w:p>
            <w:pPr>
              <w:widowControl/>
              <w:spacing w:line="440" w:lineRule="exact"/>
              <w:jc w:val="left"/>
              <w:textAlignment w:val="center"/>
              <w:rPr>
                <w:rFonts w:ascii="宋体" w:hAnsi="宋体" w:cs="宋体"/>
                <w:kern w:val="0"/>
                <w:sz w:val="24"/>
              </w:rPr>
            </w:pPr>
            <w:r>
              <w:rPr>
                <w:rFonts w:hint="eastAsia" w:ascii="宋体" w:hAnsi="宋体" w:cs="宋体"/>
                <w:kern w:val="0"/>
                <w:sz w:val="24"/>
              </w:rPr>
              <w:t>国家级：一等奖100分，二等奖95分，三等奖90分</w:t>
            </w:r>
          </w:p>
        </w:tc>
        <w:tc>
          <w:tcPr>
            <w:tcW w:w="885" w:type="pct"/>
            <w:shd w:val="clear" w:color="auto" w:fill="FFFFFF"/>
            <w:noWrap w:val="0"/>
            <w:tcMar>
              <w:top w:w="0" w:type="dxa"/>
              <w:left w:w="108" w:type="dxa"/>
              <w:bottom w:w="0" w:type="dxa"/>
              <w:right w:w="108" w:type="dxa"/>
            </w:tcMar>
            <w:vAlign w:val="center"/>
          </w:tcPr>
          <w:p>
            <w:pPr>
              <w:widowControl/>
              <w:spacing w:line="440" w:lineRule="exact"/>
              <w:jc w:val="left"/>
              <w:textAlignment w:val="center"/>
              <w:rPr>
                <w:rFonts w:hint="eastAsia" w:ascii="宋体" w:hAnsi="宋体" w:cs="宋体"/>
                <w:kern w:val="0"/>
                <w:sz w:val="24"/>
              </w:rPr>
            </w:pPr>
            <w:r>
              <w:rPr>
                <w:rFonts w:hint="eastAsia" w:ascii="宋体" w:hAnsi="宋体" w:cs="宋体"/>
                <w:kern w:val="0"/>
                <w:sz w:val="24"/>
              </w:rPr>
              <w:t>获奖证书原件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410"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5</w:t>
            </w:r>
          </w:p>
        </w:tc>
        <w:tc>
          <w:tcPr>
            <w:tcW w:w="1164"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公开发表论文</w:t>
            </w:r>
          </w:p>
        </w:tc>
        <w:tc>
          <w:tcPr>
            <w:tcW w:w="1293"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对应相关课程1门</w:t>
            </w:r>
          </w:p>
        </w:tc>
        <w:tc>
          <w:tcPr>
            <w:tcW w:w="1245"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一般刊物85分</w:t>
            </w:r>
          </w:p>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核心刊物：95分</w:t>
            </w:r>
          </w:p>
        </w:tc>
        <w:tc>
          <w:tcPr>
            <w:tcW w:w="885"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论文发表刊物原件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410"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6</w:t>
            </w:r>
          </w:p>
        </w:tc>
        <w:tc>
          <w:tcPr>
            <w:tcW w:w="1164"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取得实用新型或发明专利权</w:t>
            </w:r>
          </w:p>
        </w:tc>
        <w:tc>
          <w:tcPr>
            <w:tcW w:w="1293"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对应相关课程1门</w:t>
            </w:r>
          </w:p>
        </w:tc>
        <w:tc>
          <w:tcPr>
            <w:tcW w:w="1245"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外观：90分</w:t>
            </w:r>
          </w:p>
          <w:p>
            <w:pPr>
              <w:widowControl/>
              <w:spacing w:line="440" w:lineRule="exact"/>
              <w:jc w:val="center"/>
              <w:textAlignment w:val="center"/>
              <w:rPr>
                <w:rFonts w:ascii="宋体" w:hAnsi="宋体" w:cs="宋体"/>
                <w:kern w:val="0"/>
                <w:sz w:val="24"/>
              </w:rPr>
            </w:pPr>
            <w:r>
              <w:rPr>
                <w:rFonts w:hint="eastAsia" w:ascii="宋体" w:hAnsi="宋体" w:cs="宋体"/>
                <w:kern w:val="0"/>
                <w:sz w:val="24"/>
              </w:rPr>
              <w:t>发明：95分</w:t>
            </w:r>
          </w:p>
        </w:tc>
        <w:tc>
          <w:tcPr>
            <w:tcW w:w="885"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专利证书原件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410"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7</w:t>
            </w:r>
          </w:p>
        </w:tc>
        <w:tc>
          <w:tcPr>
            <w:tcW w:w="1164"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参与创新创业项目</w:t>
            </w:r>
          </w:p>
        </w:tc>
        <w:tc>
          <w:tcPr>
            <w:tcW w:w="1293"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对应相关课程1门</w:t>
            </w:r>
          </w:p>
        </w:tc>
        <w:tc>
          <w:tcPr>
            <w:tcW w:w="1245"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校级：主持：85分</w:t>
            </w:r>
          </w:p>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参与前五名：80分</w:t>
            </w:r>
          </w:p>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省级：主持：90分</w:t>
            </w:r>
          </w:p>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参与前五名：85分</w:t>
            </w:r>
          </w:p>
          <w:p>
            <w:pPr>
              <w:widowControl/>
              <w:spacing w:line="440" w:lineRule="exact"/>
              <w:jc w:val="left"/>
              <w:textAlignment w:val="center"/>
              <w:rPr>
                <w:rFonts w:hint="eastAsia" w:ascii="宋体" w:hAnsi="宋体" w:cs="宋体"/>
                <w:kern w:val="0"/>
                <w:sz w:val="24"/>
              </w:rPr>
            </w:pPr>
            <w:r>
              <w:rPr>
                <w:rFonts w:hint="eastAsia" w:ascii="宋体" w:hAnsi="宋体" w:cs="宋体"/>
                <w:kern w:val="0"/>
                <w:sz w:val="24"/>
              </w:rPr>
              <w:t>国家级：主持：95分，参与前五名：90分</w:t>
            </w:r>
          </w:p>
        </w:tc>
        <w:tc>
          <w:tcPr>
            <w:tcW w:w="885"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项目立项书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410"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8</w:t>
            </w:r>
          </w:p>
        </w:tc>
        <w:tc>
          <w:tcPr>
            <w:tcW w:w="1164"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同等学力课程</w:t>
            </w:r>
          </w:p>
        </w:tc>
        <w:tc>
          <w:tcPr>
            <w:tcW w:w="1293"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对应相关课程1门</w:t>
            </w:r>
          </w:p>
        </w:tc>
        <w:tc>
          <w:tcPr>
            <w:tcW w:w="1245"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按课程实际成绩</w:t>
            </w:r>
          </w:p>
        </w:tc>
        <w:tc>
          <w:tcPr>
            <w:tcW w:w="885" w:type="pct"/>
            <w:shd w:val="clear" w:color="auto" w:fill="FFFFFF"/>
            <w:noWrap w:val="0"/>
            <w:tcMar>
              <w:top w:w="0" w:type="dxa"/>
              <w:left w:w="108" w:type="dxa"/>
              <w:bottom w:w="0" w:type="dxa"/>
              <w:right w:w="108" w:type="dxa"/>
            </w:tcMar>
            <w:vAlign w:val="center"/>
          </w:tcPr>
          <w:p>
            <w:pPr>
              <w:widowControl/>
              <w:spacing w:line="440" w:lineRule="exact"/>
              <w:jc w:val="left"/>
              <w:textAlignment w:val="center"/>
              <w:rPr>
                <w:rFonts w:hint="eastAsia" w:ascii="宋体" w:hAnsi="宋体" w:cs="宋体"/>
                <w:kern w:val="0"/>
                <w:sz w:val="24"/>
              </w:rPr>
            </w:pPr>
            <w:r>
              <w:rPr>
                <w:rFonts w:hint="eastAsia" w:ascii="宋体" w:hAnsi="宋体" w:cs="宋体"/>
                <w:kern w:val="0"/>
                <w:sz w:val="24"/>
              </w:rPr>
              <w:t>出具学习相关证明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410"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9</w:t>
            </w:r>
          </w:p>
        </w:tc>
        <w:tc>
          <w:tcPr>
            <w:tcW w:w="1164"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企业工作经历</w:t>
            </w:r>
          </w:p>
        </w:tc>
        <w:tc>
          <w:tcPr>
            <w:tcW w:w="1293"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kern w:val="0"/>
                <w:sz w:val="24"/>
              </w:rPr>
            </w:pPr>
            <w:r>
              <w:rPr>
                <w:rFonts w:hint="eastAsia" w:ascii="宋体" w:hAnsi="宋体" w:cs="宋体"/>
                <w:sz w:val="24"/>
              </w:rPr>
              <w:t>毕业实习</w:t>
            </w:r>
          </w:p>
        </w:tc>
        <w:tc>
          <w:tcPr>
            <w:tcW w:w="1245"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90分</w:t>
            </w:r>
          </w:p>
        </w:tc>
        <w:tc>
          <w:tcPr>
            <w:tcW w:w="885"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kern w:val="0"/>
                <w:sz w:val="24"/>
              </w:rPr>
            </w:pPr>
            <w:r>
              <w:rPr>
                <w:rFonts w:hint="eastAsia" w:ascii="宋体" w:hAnsi="宋体" w:cs="宋体"/>
                <w:sz w:val="24"/>
              </w:rPr>
              <w:t>出具在职证明，医院（企业）负责人签字并加盖公章。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410"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10</w:t>
            </w:r>
          </w:p>
        </w:tc>
        <w:tc>
          <w:tcPr>
            <w:tcW w:w="1164"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行业进修培训</w:t>
            </w:r>
          </w:p>
        </w:tc>
        <w:tc>
          <w:tcPr>
            <w:tcW w:w="1293" w:type="pct"/>
            <w:shd w:val="clear" w:color="auto" w:fill="FFFFFF"/>
            <w:noWrap w:val="0"/>
            <w:tcMar>
              <w:top w:w="0" w:type="dxa"/>
              <w:left w:w="108" w:type="dxa"/>
              <w:bottom w:w="0" w:type="dxa"/>
              <w:right w:w="108" w:type="dxa"/>
            </w:tcMar>
            <w:vAlign w:val="center"/>
          </w:tcPr>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对应相关课程1门</w:t>
            </w:r>
          </w:p>
        </w:tc>
        <w:tc>
          <w:tcPr>
            <w:tcW w:w="1245" w:type="pct"/>
            <w:shd w:val="clear" w:color="auto" w:fill="FFFFFF"/>
            <w:noWrap w:val="0"/>
            <w:tcMar>
              <w:top w:w="0" w:type="dxa"/>
              <w:left w:w="108" w:type="dxa"/>
              <w:bottom w:w="0" w:type="dxa"/>
              <w:right w:w="108" w:type="dxa"/>
            </w:tcMar>
            <w:vAlign w:val="center"/>
          </w:tcPr>
          <w:p>
            <w:pPr>
              <w:jc w:val="center"/>
              <w:rPr>
                <w:rFonts w:hint="eastAsia" w:ascii="宋体" w:hAnsi="宋体" w:cs="宋体"/>
                <w:kern w:val="0"/>
                <w:sz w:val="24"/>
              </w:rPr>
            </w:pPr>
            <w:r>
              <w:rPr>
                <w:rFonts w:hint="eastAsia" w:ascii="宋体" w:hAnsi="宋体" w:cs="宋体"/>
                <w:kern w:val="0"/>
                <w:sz w:val="24"/>
              </w:rPr>
              <w:t>国家90</w:t>
            </w:r>
          </w:p>
          <w:p>
            <w:pPr>
              <w:jc w:val="center"/>
              <w:rPr>
                <w:rFonts w:hint="eastAsia" w:ascii="宋体" w:hAnsi="宋体" w:cs="宋体"/>
                <w:kern w:val="0"/>
                <w:sz w:val="24"/>
              </w:rPr>
            </w:pPr>
            <w:r>
              <w:rPr>
                <w:rFonts w:hint="eastAsia" w:ascii="宋体" w:hAnsi="宋体" w:cs="宋体"/>
                <w:kern w:val="0"/>
                <w:sz w:val="24"/>
              </w:rPr>
              <w:t>省级85</w:t>
            </w:r>
          </w:p>
          <w:p>
            <w:pPr>
              <w:widowControl/>
              <w:spacing w:line="440" w:lineRule="exact"/>
              <w:jc w:val="center"/>
              <w:textAlignment w:val="center"/>
              <w:rPr>
                <w:rFonts w:hint="eastAsia" w:ascii="宋体" w:hAnsi="宋体" w:cs="宋体"/>
                <w:kern w:val="0"/>
                <w:sz w:val="24"/>
              </w:rPr>
            </w:pPr>
            <w:r>
              <w:rPr>
                <w:rFonts w:hint="eastAsia" w:ascii="宋体" w:hAnsi="宋体" w:cs="宋体"/>
                <w:kern w:val="0"/>
                <w:sz w:val="24"/>
              </w:rPr>
              <w:t>市级80</w:t>
            </w:r>
          </w:p>
        </w:tc>
        <w:tc>
          <w:tcPr>
            <w:tcW w:w="885" w:type="pct"/>
            <w:shd w:val="clear" w:color="auto" w:fill="FFFFFF"/>
            <w:noWrap w:val="0"/>
            <w:tcMar>
              <w:top w:w="0" w:type="dxa"/>
              <w:left w:w="108" w:type="dxa"/>
              <w:bottom w:w="0" w:type="dxa"/>
              <w:right w:w="108" w:type="dxa"/>
            </w:tcMar>
            <w:vAlign w:val="center"/>
          </w:tcPr>
          <w:p>
            <w:pPr>
              <w:jc w:val="left"/>
              <w:rPr>
                <w:rFonts w:hint="eastAsia" w:ascii="宋体" w:hAnsi="宋体" w:cs="宋体"/>
                <w:sz w:val="24"/>
              </w:rPr>
            </w:pPr>
            <w:r>
              <w:rPr>
                <w:rFonts w:hint="eastAsia" w:ascii="宋体" w:hAnsi="宋体" w:cs="宋体"/>
                <w:sz w:val="24"/>
              </w:rPr>
              <w:t>出具培训相关证明</w:t>
            </w:r>
          </w:p>
          <w:p>
            <w:pPr>
              <w:widowControl/>
              <w:spacing w:line="440" w:lineRule="exact"/>
              <w:jc w:val="center"/>
              <w:textAlignment w:val="center"/>
              <w:rPr>
                <w:rFonts w:hint="eastAsia" w:ascii="宋体" w:hAnsi="宋体" w:cs="宋体"/>
                <w:kern w:val="0"/>
                <w:sz w:val="24"/>
              </w:rPr>
            </w:pPr>
            <w:r>
              <w:rPr>
                <w:rFonts w:hint="eastAsia" w:ascii="宋体" w:hAnsi="宋体" w:cs="宋体"/>
                <w:sz w:val="24"/>
              </w:rPr>
              <w:t>要求：培训内容与专业有关，且培训内容应不低于被替代课程的教学内容和教学要求，否则不予认定。</w:t>
            </w:r>
          </w:p>
        </w:tc>
      </w:tr>
    </w:tbl>
    <w:p>
      <w:pPr>
        <w:widowControl/>
        <w:shd w:val="clear" w:color="auto" w:fill="FFFFFF"/>
        <w:spacing w:line="580" w:lineRule="atLeast"/>
        <w:ind w:firstLine="645"/>
        <w:jc w:val="left"/>
        <w:rPr>
          <w:rFonts w:hint="eastAsia" w:ascii="宋体" w:hAnsi="宋体" w:cs="宋体"/>
          <w:color w:val="1B1B1B"/>
          <w:kern w:val="0"/>
          <w:sz w:val="24"/>
        </w:rPr>
      </w:pPr>
    </w:p>
    <w:p>
      <w:pPr>
        <w:pStyle w:val="21"/>
        <w:spacing w:line="360" w:lineRule="auto"/>
        <w:ind w:firstLine="4800" w:firstLineChars="2000"/>
        <w:jc w:val="left"/>
        <w:rPr>
          <w:rFonts w:hint="eastAsia" w:ascii="宋体" w:hAnsi="宋体" w:eastAsia="宋体"/>
          <w:bCs w:val="0"/>
          <w:sz w:val="24"/>
          <w:szCs w:val="24"/>
          <w:lang w:eastAsia="zh-CN"/>
        </w:rPr>
      </w:pPr>
      <w:r>
        <w:rPr>
          <w:rFonts w:hint="eastAsia" w:ascii="宋体" w:hAnsi="宋体" w:eastAsia="宋体"/>
          <w:bCs w:val="0"/>
          <w:sz w:val="24"/>
          <w:szCs w:val="24"/>
          <w:lang w:eastAsia="zh-CN"/>
        </w:rPr>
        <w:t>广东茂名健康职业学院</w:t>
      </w:r>
    </w:p>
    <w:p>
      <w:pPr>
        <w:pStyle w:val="21"/>
        <w:spacing w:line="360" w:lineRule="auto"/>
        <w:ind w:firstLine="5040" w:firstLineChars="2100"/>
        <w:jc w:val="left"/>
        <w:rPr>
          <w:rFonts w:hint="default" w:ascii="宋体" w:hAnsi="宋体" w:eastAsia="宋体"/>
          <w:bCs w:val="0"/>
          <w:sz w:val="24"/>
          <w:szCs w:val="24"/>
          <w:lang w:val="en-US" w:eastAsia="zh-CN"/>
        </w:rPr>
      </w:pPr>
      <w:r>
        <w:rPr>
          <w:rFonts w:hint="eastAsia" w:ascii="宋体" w:hAnsi="宋体" w:eastAsia="宋体"/>
          <w:bCs w:val="0"/>
          <w:sz w:val="24"/>
          <w:szCs w:val="24"/>
          <w:lang w:val="en-US" w:eastAsia="zh-CN"/>
        </w:rPr>
        <w:t>2020年9月7日</w:t>
      </w:r>
    </w:p>
    <w:p>
      <w:pPr>
        <w:spacing w:line="240" w:lineRule="atLeast"/>
        <w:rPr>
          <w:rFonts w:ascii="宋体" w:hAnsi="宋体"/>
          <w:b/>
          <w:sz w:val="22"/>
        </w:rPr>
      </w:pPr>
      <w:bookmarkStart w:id="22" w:name="_GoBack"/>
      <w:bookmarkEnd w:id="22"/>
    </w:p>
    <w:sectPr>
      <w:footerReference r:id="rId3" w:type="default"/>
      <w:pgSz w:w="11906" w:h="16838"/>
      <w:pgMar w:top="1134" w:right="1134" w:bottom="1134" w:left="113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Calibri Light">
    <w:altName w:val="Calibri"/>
    <w:panose1 w:val="020F0302020204030204"/>
    <w:charset w:val="00"/>
    <w:family w:val="swiss"/>
    <w:pitch w:val="default"/>
    <w:sig w:usb0="00000000" w:usb1="00000000" w:usb2="00000000" w:usb3="00000000" w:csb0="000001FF" w:csb1="00000000"/>
  </w:font>
  <w:font w:name="宋">
    <w:altName w:val="宋体"/>
    <w:panose1 w:val="00000000000000000000"/>
    <w:charset w:val="00"/>
    <w:family w:val="auto"/>
    <w:pitch w:val="default"/>
    <w:sig w:usb0="00000000" w:usb1="00000000" w:usb2="00000000" w:usb3="00000000" w:csb0="00000000" w:csb1="00000000"/>
  </w:font>
  <w:font w:name="方正粗黑宋简体">
    <w:panose1 w:val="02000000000000000000"/>
    <w:charset w:val="86"/>
    <w:family w:val="auto"/>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Segoe UI">
    <w:panose1 w:val="020B0502040204020203"/>
    <w:charset w:val="00"/>
    <w:family w:val="swiss"/>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- 28 -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- 28 -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0380B"/>
    <w:multiLevelType w:val="singleLevel"/>
    <w:tmpl w:val="3DC0380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FB9"/>
    <w:rsid w:val="000011DC"/>
    <w:rsid w:val="000020E0"/>
    <w:rsid w:val="0000386E"/>
    <w:rsid w:val="00004442"/>
    <w:rsid w:val="00005B4A"/>
    <w:rsid w:val="00007DA4"/>
    <w:rsid w:val="00014569"/>
    <w:rsid w:val="000162AC"/>
    <w:rsid w:val="00020C5B"/>
    <w:rsid w:val="00024A76"/>
    <w:rsid w:val="00026888"/>
    <w:rsid w:val="00027934"/>
    <w:rsid w:val="00027AF0"/>
    <w:rsid w:val="00031F58"/>
    <w:rsid w:val="000365D4"/>
    <w:rsid w:val="000368A6"/>
    <w:rsid w:val="000377E9"/>
    <w:rsid w:val="00051217"/>
    <w:rsid w:val="00053B2A"/>
    <w:rsid w:val="00054414"/>
    <w:rsid w:val="000545DD"/>
    <w:rsid w:val="00061EE6"/>
    <w:rsid w:val="00062547"/>
    <w:rsid w:val="00062A36"/>
    <w:rsid w:val="00070204"/>
    <w:rsid w:val="00073989"/>
    <w:rsid w:val="00080BB3"/>
    <w:rsid w:val="000856F0"/>
    <w:rsid w:val="0008610B"/>
    <w:rsid w:val="00090402"/>
    <w:rsid w:val="0009345F"/>
    <w:rsid w:val="00093724"/>
    <w:rsid w:val="00095E57"/>
    <w:rsid w:val="000A2B23"/>
    <w:rsid w:val="000A49D3"/>
    <w:rsid w:val="000B0D6B"/>
    <w:rsid w:val="000C23C2"/>
    <w:rsid w:val="000C4298"/>
    <w:rsid w:val="000C7D87"/>
    <w:rsid w:val="000D5BFF"/>
    <w:rsid w:val="000E4A7C"/>
    <w:rsid w:val="000E565C"/>
    <w:rsid w:val="000F4F11"/>
    <w:rsid w:val="00100C20"/>
    <w:rsid w:val="00101291"/>
    <w:rsid w:val="0010362F"/>
    <w:rsid w:val="001071E3"/>
    <w:rsid w:val="001107BA"/>
    <w:rsid w:val="00112672"/>
    <w:rsid w:val="00114DDD"/>
    <w:rsid w:val="00115C7E"/>
    <w:rsid w:val="00122B0C"/>
    <w:rsid w:val="00124111"/>
    <w:rsid w:val="001261FA"/>
    <w:rsid w:val="001322EF"/>
    <w:rsid w:val="00132C7A"/>
    <w:rsid w:val="0013315D"/>
    <w:rsid w:val="0013418D"/>
    <w:rsid w:val="00136EA8"/>
    <w:rsid w:val="00142676"/>
    <w:rsid w:val="00142C8D"/>
    <w:rsid w:val="00153123"/>
    <w:rsid w:val="00163BDD"/>
    <w:rsid w:val="0016619C"/>
    <w:rsid w:val="00172A27"/>
    <w:rsid w:val="0017316B"/>
    <w:rsid w:val="00174162"/>
    <w:rsid w:val="0017671E"/>
    <w:rsid w:val="00176890"/>
    <w:rsid w:val="00176C90"/>
    <w:rsid w:val="00177D7B"/>
    <w:rsid w:val="00177DB5"/>
    <w:rsid w:val="00182B9F"/>
    <w:rsid w:val="0018489C"/>
    <w:rsid w:val="001906A3"/>
    <w:rsid w:val="00190E73"/>
    <w:rsid w:val="00192682"/>
    <w:rsid w:val="001A0F4A"/>
    <w:rsid w:val="001A1D39"/>
    <w:rsid w:val="001A22E7"/>
    <w:rsid w:val="001A50F6"/>
    <w:rsid w:val="001B7C88"/>
    <w:rsid w:val="001C02A2"/>
    <w:rsid w:val="001C0B7A"/>
    <w:rsid w:val="001C0ED5"/>
    <w:rsid w:val="001C1C83"/>
    <w:rsid w:val="001C2719"/>
    <w:rsid w:val="001C375E"/>
    <w:rsid w:val="001C37C9"/>
    <w:rsid w:val="001C496A"/>
    <w:rsid w:val="001D096A"/>
    <w:rsid w:val="001D0EF7"/>
    <w:rsid w:val="001D0FA2"/>
    <w:rsid w:val="001E03C2"/>
    <w:rsid w:val="001E339E"/>
    <w:rsid w:val="001E7091"/>
    <w:rsid w:val="001F09AF"/>
    <w:rsid w:val="001F0B65"/>
    <w:rsid w:val="001F77D6"/>
    <w:rsid w:val="00200028"/>
    <w:rsid w:val="002002B3"/>
    <w:rsid w:val="00201110"/>
    <w:rsid w:val="00203E79"/>
    <w:rsid w:val="002045A2"/>
    <w:rsid w:val="002052FB"/>
    <w:rsid w:val="002058F6"/>
    <w:rsid w:val="00206DC9"/>
    <w:rsid w:val="00210576"/>
    <w:rsid w:val="00214458"/>
    <w:rsid w:val="00215014"/>
    <w:rsid w:val="002248F5"/>
    <w:rsid w:val="00227D33"/>
    <w:rsid w:val="002351A0"/>
    <w:rsid w:val="00237584"/>
    <w:rsid w:val="0024127F"/>
    <w:rsid w:val="002515EB"/>
    <w:rsid w:val="0025514B"/>
    <w:rsid w:val="002659D9"/>
    <w:rsid w:val="002674C6"/>
    <w:rsid w:val="0027092C"/>
    <w:rsid w:val="00271AD9"/>
    <w:rsid w:val="002827F8"/>
    <w:rsid w:val="00286DEE"/>
    <w:rsid w:val="00287A22"/>
    <w:rsid w:val="00294430"/>
    <w:rsid w:val="002A0294"/>
    <w:rsid w:val="002A47F8"/>
    <w:rsid w:val="002A508B"/>
    <w:rsid w:val="002A546D"/>
    <w:rsid w:val="002A7B45"/>
    <w:rsid w:val="002B1AFF"/>
    <w:rsid w:val="002B5F22"/>
    <w:rsid w:val="002B695D"/>
    <w:rsid w:val="002C0A45"/>
    <w:rsid w:val="002C287B"/>
    <w:rsid w:val="002C5D81"/>
    <w:rsid w:val="002D3B8A"/>
    <w:rsid w:val="002D3D01"/>
    <w:rsid w:val="002D4716"/>
    <w:rsid w:val="002D49DC"/>
    <w:rsid w:val="002E23D1"/>
    <w:rsid w:val="002E2A64"/>
    <w:rsid w:val="002E42EF"/>
    <w:rsid w:val="002E5A14"/>
    <w:rsid w:val="002F770B"/>
    <w:rsid w:val="003006BF"/>
    <w:rsid w:val="003026BC"/>
    <w:rsid w:val="003026EB"/>
    <w:rsid w:val="00307B6A"/>
    <w:rsid w:val="00313E59"/>
    <w:rsid w:val="00313ECD"/>
    <w:rsid w:val="003163E1"/>
    <w:rsid w:val="00317778"/>
    <w:rsid w:val="00321A18"/>
    <w:rsid w:val="00322E68"/>
    <w:rsid w:val="003250BF"/>
    <w:rsid w:val="0032607A"/>
    <w:rsid w:val="00327C6E"/>
    <w:rsid w:val="00333185"/>
    <w:rsid w:val="00333D0F"/>
    <w:rsid w:val="00336975"/>
    <w:rsid w:val="00336ADB"/>
    <w:rsid w:val="0033711F"/>
    <w:rsid w:val="003371A6"/>
    <w:rsid w:val="003506FD"/>
    <w:rsid w:val="00350ECD"/>
    <w:rsid w:val="003518DB"/>
    <w:rsid w:val="00354E11"/>
    <w:rsid w:val="00364738"/>
    <w:rsid w:val="00365C4D"/>
    <w:rsid w:val="00374F86"/>
    <w:rsid w:val="003757F4"/>
    <w:rsid w:val="00377FD1"/>
    <w:rsid w:val="00380820"/>
    <w:rsid w:val="00380DBE"/>
    <w:rsid w:val="003815D6"/>
    <w:rsid w:val="00383CC6"/>
    <w:rsid w:val="00384C36"/>
    <w:rsid w:val="003872AC"/>
    <w:rsid w:val="0039320C"/>
    <w:rsid w:val="00395889"/>
    <w:rsid w:val="00396B77"/>
    <w:rsid w:val="003A107D"/>
    <w:rsid w:val="003A44F6"/>
    <w:rsid w:val="003A5B6B"/>
    <w:rsid w:val="003A5F0E"/>
    <w:rsid w:val="003A64CB"/>
    <w:rsid w:val="003A6844"/>
    <w:rsid w:val="003A7EB0"/>
    <w:rsid w:val="003B024D"/>
    <w:rsid w:val="003C5087"/>
    <w:rsid w:val="003D0047"/>
    <w:rsid w:val="003D0E13"/>
    <w:rsid w:val="003D2A72"/>
    <w:rsid w:val="003D5932"/>
    <w:rsid w:val="003E088C"/>
    <w:rsid w:val="003E356C"/>
    <w:rsid w:val="003E51B0"/>
    <w:rsid w:val="003F1D0F"/>
    <w:rsid w:val="003F2E3A"/>
    <w:rsid w:val="003F6AF5"/>
    <w:rsid w:val="003F7F2E"/>
    <w:rsid w:val="00400EC0"/>
    <w:rsid w:val="00402C42"/>
    <w:rsid w:val="004100BC"/>
    <w:rsid w:val="004119B9"/>
    <w:rsid w:val="004157DE"/>
    <w:rsid w:val="004178AB"/>
    <w:rsid w:val="00426BE1"/>
    <w:rsid w:val="00426FF5"/>
    <w:rsid w:val="00427C8F"/>
    <w:rsid w:val="00430554"/>
    <w:rsid w:val="00431214"/>
    <w:rsid w:val="00431C21"/>
    <w:rsid w:val="00435D7D"/>
    <w:rsid w:val="00436997"/>
    <w:rsid w:val="00440A21"/>
    <w:rsid w:val="00442DCD"/>
    <w:rsid w:val="0044617D"/>
    <w:rsid w:val="00447D7C"/>
    <w:rsid w:val="00450412"/>
    <w:rsid w:val="00452261"/>
    <w:rsid w:val="0045496F"/>
    <w:rsid w:val="00457ED7"/>
    <w:rsid w:val="004603F8"/>
    <w:rsid w:val="004611C6"/>
    <w:rsid w:val="004613AB"/>
    <w:rsid w:val="004620C2"/>
    <w:rsid w:val="00473761"/>
    <w:rsid w:val="004749C8"/>
    <w:rsid w:val="00477B2C"/>
    <w:rsid w:val="00480ED1"/>
    <w:rsid w:val="004832F0"/>
    <w:rsid w:val="00486794"/>
    <w:rsid w:val="00486EF4"/>
    <w:rsid w:val="004879CC"/>
    <w:rsid w:val="00494AE7"/>
    <w:rsid w:val="004950F4"/>
    <w:rsid w:val="004968F9"/>
    <w:rsid w:val="004979E3"/>
    <w:rsid w:val="004A0888"/>
    <w:rsid w:val="004A3559"/>
    <w:rsid w:val="004B0A79"/>
    <w:rsid w:val="004B21BF"/>
    <w:rsid w:val="004B78C9"/>
    <w:rsid w:val="004C287C"/>
    <w:rsid w:val="004C312A"/>
    <w:rsid w:val="004D2DCF"/>
    <w:rsid w:val="004D4B22"/>
    <w:rsid w:val="004D5EF4"/>
    <w:rsid w:val="004E0ED7"/>
    <w:rsid w:val="004E394C"/>
    <w:rsid w:val="004E3FC0"/>
    <w:rsid w:val="004E469C"/>
    <w:rsid w:val="004E740E"/>
    <w:rsid w:val="004E7C1B"/>
    <w:rsid w:val="004F48F3"/>
    <w:rsid w:val="00504E7B"/>
    <w:rsid w:val="005113AA"/>
    <w:rsid w:val="00511F41"/>
    <w:rsid w:val="00524459"/>
    <w:rsid w:val="00524C81"/>
    <w:rsid w:val="00531699"/>
    <w:rsid w:val="00536726"/>
    <w:rsid w:val="005401C7"/>
    <w:rsid w:val="005438FE"/>
    <w:rsid w:val="00556836"/>
    <w:rsid w:val="005606D8"/>
    <w:rsid w:val="00561E09"/>
    <w:rsid w:val="00570D83"/>
    <w:rsid w:val="0057109E"/>
    <w:rsid w:val="00571632"/>
    <w:rsid w:val="00571652"/>
    <w:rsid w:val="0057343D"/>
    <w:rsid w:val="005739DA"/>
    <w:rsid w:val="00574B42"/>
    <w:rsid w:val="005755BC"/>
    <w:rsid w:val="0057580C"/>
    <w:rsid w:val="00576758"/>
    <w:rsid w:val="0058515A"/>
    <w:rsid w:val="00586BE1"/>
    <w:rsid w:val="00590F88"/>
    <w:rsid w:val="005916CC"/>
    <w:rsid w:val="0059173E"/>
    <w:rsid w:val="005927CC"/>
    <w:rsid w:val="00593083"/>
    <w:rsid w:val="00593DD1"/>
    <w:rsid w:val="005946D5"/>
    <w:rsid w:val="0059704D"/>
    <w:rsid w:val="005A0D09"/>
    <w:rsid w:val="005A3727"/>
    <w:rsid w:val="005A7C88"/>
    <w:rsid w:val="005B21C4"/>
    <w:rsid w:val="005B510A"/>
    <w:rsid w:val="005B7B62"/>
    <w:rsid w:val="005C301B"/>
    <w:rsid w:val="005C3B13"/>
    <w:rsid w:val="005D47F7"/>
    <w:rsid w:val="005D61BC"/>
    <w:rsid w:val="005D74E4"/>
    <w:rsid w:val="005E063E"/>
    <w:rsid w:val="005E2357"/>
    <w:rsid w:val="005E3AB2"/>
    <w:rsid w:val="005E5F23"/>
    <w:rsid w:val="005E69DB"/>
    <w:rsid w:val="005F080C"/>
    <w:rsid w:val="005F2F76"/>
    <w:rsid w:val="00602212"/>
    <w:rsid w:val="00602FBC"/>
    <w:rsid w:val="0060534A"/>
    <w:rsid w:val="00611305"/>
    <w:rsid w:val="006175A4"/>
    <w:rsid w:val="0062093A"/>
    <w:rsid w:val="00622438"/>
    <w:rsid w:val="00622549"/>
    <w:rsid w:val="00624EF1"/>
    <w:rsid w:val="006279CD"/>
    <w:rsid w:val="0063117A"/>
    <w:rsid w:val="0063185E"/>
    <w:rsid w:val="006353EF"/>
    <w:rsid w:val="00635755"/>
    <w:rsid w:val="00635BBA"/>
    <w:rsid w:val="00640598"/>
    <w:rsid w:val="00642EA1"/>
    <w:rsid w:val="0064524B"/>
    <w:rsid w:val="0065349E"/>
    <w:rsid w:val="00657039"/>
    <w:rsid w:val="00657908"/>
    <w:rsid w:val="0066098F"/>
    <w:rsid w:val="00661F2F"/>
    <w:rsid w:val="00665018"/>
    <w:rsid w:val="00667E9A"/>
    <w:rsid w:val="00671A1F"/>
    <w:rsid w:val="006761CE"/>
    <w:rsid w:val="00681E94"/>
    <w:rsid w:val="0068313D"/>
    <w:rsid w:val="00683809"/>
    <w:rsid w:val="00683FA7"/>
    <w:rsid w:val="00685592"/>
    <w:rsid w:val="00687141"/>
    <w:rsid w:val="00690249"/>
    <w:rsid w:val="00693830"/>
    <w:rsid w:val="006944DF"/>
    <w:rsid w:val="00695788"/>
    <w:rsid w:val="006A4888"/>
    <w:rsid w:val="006B0A94"/>
    <w:rsid w:val="006B2E68"/>
    <w:rsid w:val="006B424F"/>
    <w:rsid w:val="006B6676"/>
    <w:rsid w:val="006B7E2F"/>
    <w:rsid w:val="006C57CA"/>
    <w:rsid w:val="006C59A6"/>
    <w:rsid w:val="006C773B"/>
    <w:rsid w:val="006D33BA"/>
    <w:rsid w:val="006D3DC1"/>
    <w:rsid w:val="006D3DD9"/>
    <w:rsid w:val="006D5D5E"/>
    <w:rsid w:val="006D72C9"/>
    <w:rsid w:val="006D7F04"/>
    <w:rsid w:val="006E21D2"/>
    <w:rsid w:val="006E3A02"/>
    <w:rsid w:val="006E456D"/>
    <w:rsid w:val="006E4854"/>
    <w:rsid w:val="006E6E09"/>
    <w:rsid w:val="006F03AD"/>
    <w:rsid w:val="006F1D7D"/>
    <w:rsid w:val="006F2589"/>
    <w:rsid w:val="006F2AED"/>
    <w:rsid w:val="006F2B5F"/>
    <w:rsid w:val="006F2EBF"/>
    <w:rsid w:val="006F5F92"/>
    <w:rsid w:val="0070101A"/>
    <w:rsid w:val="007050D6"/>
    <w:rsid w:val="007061AD"/>
    <w:rsid w:val="007103A5"/>
    <w:rsid w:val="007110D8"/>
    <w:rsid w:val="00715DF1"/>
    <w:rsid w:val="00720458"/>
    <w:rsid w:val="0072115C"/>
    <w:rsid w:val="00721591"/>
    <w:rsid w:val="007244AC"/>
    <w:rsid w:val="00730CC3"/>
    <w:rsid w:val="007326CC"/>
    <w:rsid w:val="00734835"/>
    <w:rsid w:val="00735884"/>
    <w:rsid w:val="00740325"/>
    <w:rsid w:val="00740CEC"/>
    <w:rsid w:val="00743A5E"/>
    <w:rsid w:val="0074465A"/>
    <w:rsid w:val="00750255"/>
    <w:rsid w:val="007602DD"/>
    <w:rsid w:val="00790402"/>
    <w:rsid w:val="007A0B87"/>
    <w:rsid w:val="007A112F"/>
    <w:rsid w:val="007A3263"/>
    <w:rsid w:val="007A45F8"/>
    <w:rsid w:val="007A4ADE"/>
    <w:rsid w:val="007A4E43"/>
    <w:rsid w:val="007B1B09"/>
    <w:rsid w:val="007B2542"/>
    <w:rsid w:val="007C1AE4"/>
    <w:rsid w:val="007C2166"/>
    <w:rsid w:val="007C3602"/>
    <w:rsid w:val="007C3C32"/>
    <w:rsid w:val="007C4DC0"/>
    <w:rsid w:val="007D0F88"/>
    <w:rsid w:val="007D3967"/>
    <w:rsid w:val="007D3B68"/>
    <w:rsid w:val="007D6165"/>
    <w:rsid w:val="007D6D61"/>
    <w:rsid w:val="007E1844"/>
    <w:rsid w:val="007E2171"/>
    <w:rsid w:val="007E237E"/>
    <w:rsid w:val="007E340F"/>
    <w:rsid w:val="007E6E6C"/>
    <w:rsid w:val="007F37DD"/>
    <w:rsid w:val="007F3AA4"/>
    <w:rsid w:val="007F7530"/>
    <w:rsid w:val="0080012F"/>
    <w:rsid w:val="008014D4"/>
    <w:rsid w:val="008030F7"/>
    <w:rsid w:val="00806F03"/>
    <w:rsid w:val="008072A3"/>
    <w:rsid w:val="00811950"/>
    <w:rsid w:val="008132A0"/>
    <w:rsid w:val="00822AEF"/>
    <w:rsid w:val="00830957"/>
    <w:rsid w:val="00832C52"/>
    <w:rsid w:val="00832FE0"/>
    <w:rsid w:val="00833CCA"/>
    <w:rsid w:val="0083465E"/>
    <w:rsid w:val="0083604F"/>
    <w:rsid w:val="00837305"/>
    <w:rsid w:val="0084087B"/>
    <w:rsid w:val="00842BA5"/>
    <w:rsid w:val="00844BF5"/>
    <w:rsid w:val="00854126"/>
    <w:rsid w:val="00855D06"/>
    <w:rsid w:val="008621B8"/>
    <w:rsid w:val="0087153D"/>
    <w:rsid w:val="008732F4"/>
    <w:rsid w:val="0088544B"/>
    <w:rsid w:val="008860F0"/>
    <w:rsid w:val="008903BA"/>
    <w:rsid w:val="00892C0F"/>
    <w:rsid w:val="008932D9"/>
    <w:rsid w:val="008952A6"/>
    <w:rsid w:val="008A2234"/>
    <w:rsid w:val="008A3F36"/>
    <w:rsid w:val="008A76EF"/>
    <w:rsid w:val="008A798B"/>
    <w:rsid w:val="008A7F82"/>
    <w:rsid w:val="008B3D0D"/>
    <w:rsid w:val="008B6883"/>
    <w:rsid w:val="008C29E6"/>
    <w:rsid w:val="008C48D5"/>
    <w:rsid w:val="008C6E50"/>
    <w:rsid w:val="008C7857"/>
    <w:rsid w:val="008D08CE"/>
    <w:rsid w:val="008D1945"/>
    <w:rsid w:val="008D5CD6"/>
    <w:rsid w:val="008D7225"/>
    <w:rsid w:val="008D7F0F"/>
    <w:rsid w:val="008E27A7"/>
    <w:rsid w:val="008E358F"/>
    <w:rsid w:val="008E43C3"/>
    <w:rsid w:val="008F6D9D"/>
    <w:rsid w:val="009013B7"/>
    <w:rsid w:val="00901FBF"/>
    <w:rsid w:val="009124A4"/>
    <w:rsid w:val="009138B8"/>
    <w:rsid w:val="00922387"/>
    <w:rsid w:val="00925934"/>
    <w:rsid w:val="00933B21"/>
    <w:rsid w:val="00935AB3"/>
    <w:rsid w:val="00937BD6"/>
    <w:rsid w:val="00944E8C"/>
    <w:rsid w:val="009461FE"/>
    <w:rsid w:val="00946BD1"/>
    <w:rsid w:val="00950C20"/>
    <w:rsid w:val="00954EE6"/>
    <w:rsid w:val="00954F61"/>
    <w:rsid w:val="00955155"/>
    <w:rsid w:val="00957FA6"/>
    <w:rsid w:val="0096126B"/>
    <w:rsid w:val="00962E6C"/>
    <w:rsid w:val="00967303"/>
    <w:rsid w:val="00970542"/>
    <w:rsid w:val="00972F9D"/>
    <w:rsid w:val="0097716F"/>
    <w:rsid w:val="00981B39"/>
    <w:rsid w:val="0099216A"/>
    <w:rsid w:val="00993E8D"/>
    <w:rsid w:val="009A56E2"/>
    <w:rsid w:val="009A7337"/>
    <w:rsid w:val="009B0A30"/>
    <w:rsid w:val="009B4E64"/>
    <w:rsid w:val="009B7455"/>
    <w:rsid w:val="009B7EDB"/>
    <w:rsid w:val="009C3CCE"/>
    <w:rsid w:val="009C41D9"/>
    <w:rsid w:val="009C47A8"/>
    <w:rsid w:val="009C5DC8"/>
    <w:rsid w:val="009C7CE1"/>
    <w:rsid w:val="009D0B9F"/>
    <w:rsid w:val="009D5C46"/>
    <w:rsid w:val="009D5F99"/>
    <w:rsid w:val="009D61DB"/>
    <w:rsid w:val="009D61E4"/>
    <w:rsid w:val="009D7816"/>
    <w:rsid w:val="009E15F0"/>
    <w:rsid w:val="009E3162"/>
    <w:rsid w:val="009E691D"/>
    <w:rsid w:val="009E6DE7"/>
    <w:rsid w:val="009F3D61"/>
    <w:rsid w:val="009F4A72"/>
    <w:rsid w:val="009F4EDF"/>
    <w:rsid w:val="009F721F"/>
    <w:rsid w:val="00A03E19"/>
    <w:rsid w:val="00A10C53"/>
    <w:rsid w:val="00A20AA4"/>
    <w:rsid w:val="00A218A0"/>
    <w:rsid w:val="00A23320"/>
    <w:rsid w:val="00A23C41"/>
    <w:rsid w:val="00A25B38"/>
    <w:rsid w:val="00A3033F"/>
    <w:rsid w:val="00A317B6"/>
    <w:rsid w:val="00A34E0B"/>
    <w:rsid w:val="00A42A27"/>
    <w:rsid w:val="00A45542"/>
    <w:rsid w:val="00A45ED8"/>
    <w:rsid w:val="00A50086"/>
    <w:rsid w:val="00A502BA"/>
    <w:rsid w:val="00A56FA8"/>
    <w:rsid w:val="00A57BA1"/>
    <w:rsid w:val="00A61100"/>
    <w:rsid w:val="00A618D5"/>
    <w:rsid w:val="00A7080C"/>
    <w:rsid w:val="00A75E43"/>
    <w:rsid w:val="00A81DD3"/>
    <w:rsid w:val="00A85381"/>
    <w:rsid w:val="00A87A0C"/>
    <w:rsid w:val="00A91567"/>
    <w:rsid w:val="00A920C0"/>
    <w:rsid w:val="00A94BE1"/>
    <w:rsid w:val="00AA1134"/>
    <w:rsid w:val="00AA2C78"/>
    <w:rsid w:val="00AA3399"/>
    <w:rsid w:val="00AA6876"/>
    <w:rsid w:val="00AB0194"/>
    <w:rsid w:val="00AB1544"/>
    <w:rsid w:val="00AB1A38"/>
    <w:rsid w:val="00AB34A6"/>
    <w:rsid w:val="00AB6E6D"/>
    <w:rsid w:val="00AD5ECC"/>
    <w:rsid w:val="00AD7BE9"/>
    <w:rsid w:val="00AD7FC8"/>
    <w:rsid w:val="00AE0358"/>
    <w:rsid w:val="00AE1728"/>
    <w:rsid w:val="00AE3FF9"/>
    <w:rsid w:val="00AE7BD5"/>
    <w:rsid w:val="00AF3059"/>
    <w:rsid w:val="00B01106"/>
    <w:rsid w:val="00B073A2"/>
    <w:rsid w:val="00B104C2"/>
    <w:rsid w:val="00B111D0"/>
    <w:rsid w:val="00B1433C"/>
    <w:rsid w:val="00B220C3"/>
    <w:rsid w:val="00B2454B"/>
    <w:rsid w:val="00B255D4"/>
    <w:rsid w:val="00B25799"/>
    <w:rsid w:val="00B26B7A"/>
    <w:rsid w:val="00B344DB"/>
    <w:rsid w:val="00B366D9"/>
    <w:rsid w:val="00B36D73"/>
    <w:rsid w:val="00B57215"/>
    <w:rsid w:val="00B61D7D"/>
    <w:rsid w:val="00B62D6C"/>
    <w:rsid w:val="00B637A8"/>
    <w:rsid w:val="00B63C02"/>
    <w:rsid w:val="00B64E65"/>
    <w:rsid w:val="00B6639A"/>
    <w:rsid w:val="00B73DFF"/>
    <w:rsid w:val="00B75528"/>
    <w:rsid w:val="00B80396"/>
    <w:rsid w:val="00B9432A"/>
    <w:rsid w:val="00B95A93"/>
    <w:rsid w:val="00B979A7"/>
    <w:rsid w:val="00BB2A01"/>
    <w:rsid w:val="00BB615F"/>
    <w:rsid w:val="00BB6496"/>
    <w:rsid w:val="00BC0A7E"/>
    <w:rsid w:val="00BC0CB1"/>
    <w:rsid w:val="00BC0F43"/>
    <w:rsid w:val="00BC60B0"/>
    <w:rsid w:val="00BD5C48"/>
    <w:rsid w:val="00BD7488"/>
    <w:rsid w:val="00BE23E6"/>
    <w:rsid w:val="00BE5002"/>
    <w:rsid w:val="00BE6923"/>
    <w:rsid w:val="00BE7312"/>
    <w:rsid w:val="00BE7B6E"/>
    <w:rsid w:val="00BF09B0"/>
    <w:rsid w:val="00C02671"/>
    <w:rsid w:val="00C06ED0"/>
    <w:rsid w:val="00C06F2A"/>
    <w:rsid w:val="00C139D3"/>
    <w:rsid w:val="00C22040"/>
    <w:rsid w:val="00C24DE8"/>
    <w:rsid w:val="00C26D42"/>
    <w:rsid w:val="00C305E6"/>
    <w:rsid w:val="00C36F38"/>
    <w:rsid w:val="00C40FFD"/>
    <w:rsid w:val="00C44772"/>
    <w:rsid w:val="00C44B90"/>
    <w:rsid w:val="00C5197B"/>
    <w:rsid w:val="00C5321B"/>
    <w:rsid w:val="00C55842"/>
    <w:rsid w:val="00C56168"/>
    <w:rsid w:val="00C70A5C"/>
    <w:rsid w:val="00C718A1"/>
    <w:rsid w:val="00C741E2"/>
    <w:rsid w:val="00C83D84"/>
    <w:rsid w:val="00C84BAA"/>
    <w:rsid w:val="00C84D40"/>
    <w:rsid w:val="00C85707"/>
    <w:rsid w:val="00C85C04"/>
    <w:rsid w:val="00C87641"/>
    <w:rsid w:val="00C9151C"/>
    <w:rsid w:val="00C9256E"/>
    <w:rsid w:val="00CA09D1"/>
    <w:rsid w:val="00CA107C"/>
    <w:rsid w:val="00CA2F77"/>
    <w:rsid w:val="00CA3C91"/>
    <w:rsid w:val="00CA6C45"/>
    <w:rsid w:val="00CB2869"/>
    <w:rsid w:val="00CB425F"/>
    <w:rsid w:val="00CB433D"/>
    <w:rsid w:val="00CB462E"/>
    <w:rsid w:val="00CB718F"/>
    <w:rsid w:val="00CC0B8C"/>
    <w:rsid w:val="00CC0C0D"/>
    <w:rsid w:val="00CC1B10"/>
    <w:rsid w:val="00CC1FC2"/>
    <w:rsid w:val="00CD05E6"/>
    <w:rsid w:val="00CD19FC"/>
    <w:rsid w:val="00CD69CF"/>
    <w:rsid w:val="00CE0974"/>
    <w:rsid w:val="00CF1068"/>
    <w:rsid w:val="00CF1E8D"/>
    <w:rsid w:val="00CF5ADE"/>
    <w:rsid w:val="00CF67C6"/>
    <w:rsid w:val="00CF78E3"/>
    <w:rsid w:val="00D00DC5"/>
    <w:rsid w:val="00D12714"/>
    <w:rsid w:val="00D166D3"/>
    <w:rsid w:val="00D2408C"/>
    <w:rsid w:val="00D249D9"/>
    <w:rsid w:val="00D25F4D"/>
    <w:rsid w:val="00D260DF"/>
    <w:rsid w:val="00D2783F"/>
    <w:rsid w:val="00D3076A"/>
    <w:rsid w:val="00D36A99"/>
    <w:rsid w:val="00D42DA0"/>
    <w:rsid w:val="00D44AA7"/>
    <w:rsid w:val="00D47273"/>
    <w:rsid w:val="00D479A7"/>
    <w:rsid w:val="00D50836"/>
    <w:rsid w:val="00D550DB"/>
    <w:rsid w:val="00D64535"/>
    <w:rsid w:val="00D651C7"/>
    <w:rsid w:val="00D65A0C"/>
    <w:rsid w:val="00D71411"/>
    <w:rsid w:val="00D72295"/>
    <w:rsid w:val="00D759D1"/>
    <w:rsid w:val="00D768C2"/>
    <w:rsid w:val="00D7786E"/>
    <w:rsid w:val="00D814F5"/>
    <w:rsid w:val="00D818AF"/>
    <w:rsid w:val="00D8343A"/>
    <w:rsid w:val="00D84078"/>
    <w:rsid w:val="00D87052"/>
    <w:rsid w:val="00D87F9F"/>
    <w:rsid w:val="00D95917"/>
    <w:rsid w:val="00D969C6"/>
    <w:rsid w:val="00DA2750"/>
    <w:rsid w:val="00DB0002"/>
    <w:rsid w:val="00DB3EA9"/>
    <w:rsid w:val="00DC0369"/>
    <w:rsid w:val="00DC5360"/>
    <w:rsid w:val="00DD3AA1"/>
    <w:rsid w:val="00DD702E"/>
    <w:rsid w:val="00DE0386"/>
    <w:rsid w:val="00DE18B6"/>
    <w:rsid w:val="00DE7450"/>
    <w:rsid w:val="00DE7605"/>
    <w:rsid w:val="00DF1CC9"/>
    <w:rsid w:val="00DF2BE6"/>
    <w:rsid w:val="00DF45C7"/>
    <w:rsid w:val="00DF79A0"/>
    <w:rsid w:val="00DF7FC2"/>
    <w:rsid w:val="00E00328"/>
    <w:rsid w:val="00E010EA"/>
    <w:rsid w:val="00E02A9D"/>
    <w:rsid w:val="00E065D6"/>
    <w:rsid w:val="00E07C00"/>
    <w:rsid w:val="00E12440"/>
    <w:rsid w:val="00E16086"/>
    <w:rsid w:val="00E1618D"/>
    <w:rsid w:val="00E1775F"/>
    <w:rsid w:val="00E209B8"/>
    <w:rsid w:val="00E22669"/>
    <w:rsid w:val="00E24005"/>
    <w:rsid w:val="00E24360"/>
    <w:rsid w:val="00E3219C"/>
    <w:rsid w:val="00E32E2E"/>
    <w:rsid w:val="00E420C4"/>
    <w:rsid w:val="00E423C5"/>
    <w:rsid w:val="00E43EAD"/>
    <w:rsid w:val="00E44BA7"/>
    <w:rsid w:val="00E4777E"/>
    <w:rsid w:val="00E50126"/>
    <w:rsid w:val="00E50597"/>
    <w:rsid w:val="00E511C9"/>
    <w:rsid w:val="00E51219"/>
    <w:rsid w:val="00E540BB"/>
    <w:rsid w:val="00E642C1"/>
    <w:rsid w:val="00E65491"/>
    <w:rsid w:val="00E658E9"/>
    <w:rsid w:val="00E756FD"/>
    <w:rsid w:val="00E75D46"/>
    <w:rsid w:val="00E87C63"/>
    <w:rsid w:val="00E92789"/>
    <w:rsid w:val="00E92C49"/>
    <w:rsid w:val="00EA0163"/>
    <w:rsid w:val="00EA3A09"/>
    <w:rsid w:val="00EA4471"/>
    <w:rsid w:val="00EA4929"/>
    <w:rsid w:val="00EA61AA"/>
    <w:rsid w:val="00EA6458"/>
    <w:rsid w:val="00EB2B9D"/>
    <w:rsid w:val="00EB5BFE"/>
    <w:rsid w:val="00EC1305"/>
    <w:rsid w:val="00EC2819"/>
    <w:rsid w:val="00EC2E3F"/>
    <w:rsid w:val="00EC4133"/>
    <w:rsid w:val="00EC44BD"/>
    <w:rsid w:val="00ED029A"/>
    <w:rsid w:val="00ED054A"/>
    <w:rsid w:val="00ED1B4A"/>
    <w:rsid w:val="00ED1DBE"/>
    <w:rsid w:val="00ED2E0F"/>
    <w:rsid w:val="00ED6722"/>
    <w:rsid w:val="00ED7575"/>
    <w:rsid w:val="00EE610D"/>
    <w:rsid w:val="00EE63EC"/>
    <w:rsid w:val="00EE70D1"/>
    <w:rsid w:val="00EF1983"/>
    <w:rsid w:val="00EF1B18"/>
    <w:rsid w:val="00EF2F14"/>
    <w:rsid w:val="00F17C15"/>
    <w:rsid w:val="00F201D7"/>
    <w:rsid w:val="00F312CA"/>
    <w:rsid w:val="00F31C9B"/>
    <w:rsid w:val="00F332C8"/>
    <w:rsid w:val="00F33B4D"/>
    <w:rsid w:val="00F34C74"/>
    <w:rsid w:val="00F4034F"/>
    <w:rsid w:val="00F41766"/>
    <w:rsid w:val="00F5079D"/>
    <w:rsid w:val="00F50A17"/>
    <w:rsid w:val="00F54029"/>
    <w:rsid w:val="00F6027B"/>
    <w:rsid w:val="00F60291"/>
    <w:rsid w:val="00F639EB"/>
    <w:rsid w:val="00F63A07"/>
    <w:rsid w:val="00F7186D"/>
    <w:rsid w:val="00F73F1A"/>
    <w:rsid w:val="00F75B34"/>
    <w:rsid w:val="00F80F4D"/>
    <w:rsid w:val="00F869E9"/>
    <w:rsid w:val="00F87226"/>
    <w:rsid w:val="00F9342D"/>
    <w:rsid w:val="00F93DA7"/>
    <w:rsid w:val="00F93E38"/>
    <w:rsid w:val="00F943AB"/>
    <w:rsid w:val="00F95730"/>
    <w:rsid w:val="00F9611C"/>
    <w:rsid w:val="00F966E9"/>
    <w:rsid w:val="00FB1A91"/>
    <w:rsid w:val="00FB1DE6"/>
    <w:rsid w:val="00FB497D"/>
    <w:rsid w:val="00FB4D58"/>
    <w:rsid w:val="00FB6C63"/>
    <w:rsid w:val="00FB7256"/>
    <w:rsid w:val="00FB75CB"/>
    <w:rsid w:val="00FC3117"/>
    <w:rsid w:val="00FC62A3"/>
    <w:rsid w:val="00FC64DC"/>
    <w:rsid w:val="00FD0968"/>
    <w:rsid w:val="00FD1A05"/>
    <w:rsid w:val="00FD2942"/>
    <w:rsid w:val="00FD3BA5"/>
    <w:rsid w:val="00FE0011"/>
    <w:rsid w:val="00FE0EDA"/>
    <w:rsid w:val="00FE54DA"/>
    <w:rsid w:val="00FE7C11"/>
    <w:rsid w:val="00FF2F17"/>
    <w:rsid w:val="00FF7305"/>
    <w:rsid w:val="00FF7752"/>
    <w:rsid w:val="01435267"/>
    <w:rsid w:val="01E206A2"/>
    <w:rsid w:val="03620F31"/>
    <w:rsid w:val="04384E2E"/>
    <w:rsid w:val="04C777B0"/>
    <w:rsid w:val="050F58F9"/>
    <w:rsid w:val="052F126D"/>
    <w:rsid w:val="06022F0B"/>
    <w:rsid w:val="06500CF5"/>
    <w:rsid w:val="069B37D0"/>
    <w:rsid w:val="06D00D9B"/>
    <w:rsid w:val="083D78F3"/>
    <w:rsid w:val="08A12808"/>
    <w:rsid w:val="09790C29"/>
    <w:rsid w:val="09D55903"/>
    <w:rsid w:val="09FA07A3"/>
    <w:rsid w:val="0A0248EB"/>
    <w:rsid w:val="0A697E43"/>
    <w:rsid w:val="0ADB135F"/>
    <w:rsid w:val="0B954032"/>
    <w:rsid w:val="0BC407E0"/>
    <w:rsid w:val="0BD7020C"/>
    <w:rsid w:val="0C5F6ACE"/>
    <w:rsid w:val="0C703234"/>
    <w:rsid w:val="0CBD3E96"/>
    <w:rsid w:val="0D84477A"/>
    <w:rsid w:val="0E001C37"/>
    <w:rsid w:val="0F643565"/>
    <w:rsid w:val="10485D14"/>
    <w:rsid w:val="11225B43"/>
    <w:rsid w:val="11C16A68"/>
    <w:rsid w:val="11E56D85"/>
    <w:rsid w:val="11ED4290"/>
    <w:rsid w:val="12BC78B2"/>
    <w:rsid w:val="13945643"/>
    <w:rsid w:val="14285DFF"/>
    <w:rsid w:val="14D60FD6"/>
    <w:rsid w:val="15875F3F"/>
    <w:rsid w:val="15E8590B"/>
    <w:rsid w:val="16536245"/>
    <w:rsid w:val="192C0E23"/>
    <w:rsid w:val="19931BB2"/>
    <w:rsid w:val="1A8B5D27"/>
    <w:rsid w:val="1AF774D4"/>
    <w:rsid w:val="1B7A45D0"/>
    <w:rsid w:val="1C38556D"/>
    <w:rsid w:val="1CC5010A"/>
    <w:rsid w:val="1CC507BF"/>
    <w:rsid w:val="1CC94CA4"/>
    <w:rsid w:val="1CE926B3"/>
    <w:rsid w:val="1D231173"/>
    <w:rsid w:val="1D280CC7"/>
    <w:rsid w:val="1D2877C6"/>
    <w:rsid w:val="1D722694"/>
    <w:rsid w:val="1D7263FA"/>
    <w:rsid w:val="1E573C79"/>
    <w:rsid w:val="1F203BEF"/>
    <w:rsid w:val="1FBC46AB"/>
    <w:rsid w:val="1FC11EFF"/>
    <w:rsid w:val="201F44E2"/>
    <w:rsid w:val="21C1578D"/>
    <w:rsid w:val="22210D17"/>
    <w:rsid w:val="227B2805"/>
    <w:rsid w:val="22926CE0"/>
    <w:rsid w:val="237245E2"/>
    <w:rsid w:val="2435104C"/>
    <w:rsid w:val="248A5CEA"/>
    <w:rsid w:val="25AB7EDD"/>
    <w:rsid w:val="26CF5ACA"/>
    <w:rsid w:val="26ED4760"/>
    <w:rsid w:val="27986097"/>
    <w:rsid w:val="27D11FC0"/>
    <w:rsid w:val="283764EB"/>
    <w:rsid w:val="2A2F768F"/>
    <w:rsid w:val="2AF00B3B"/>
    <w:rsid w:val="2BE22D96"/>
    <w:rsid w:val="2D235F3A"/>
    <w:rsid w:val="2D3D1379"/>
    <w:rsid w:val="2D493F4D"/>
    <w:rsid w:val="2D987B6B"/>
    <w:rsid w:val="2EED57B6"/>
    <w:rsid w:val="2EFE60F3"/>
    <w:rsid w:val="2F455198"/>
    <w:rsid w:val="30E76A31"/>
    <w:rsid w:val="31D96E8A"/>
    <w:rsid w:val="324D1F71"/>
    <w:rsid w:val="326B0EF7"/>
    <w:rsid w:val="32AF5C0A"/>
    <w:rsid w:val="33377E7F"/>
    <w:rsid w:val="345573F7"/>
    <w:rsid w:val="3493365C"/>
    <w:rsid w:val="34987A86"/>
    <w:rsid w:val="34D92FA9"/>
    <w:rsid w:val="35BB5ADC"/>
    <w:rsid w:val="35F20101"/>
    <w:rsid w:val="387551A8"/>
    <w:rsid w:val="39FE2258"/>
    <w:rsid w:val="3B156295"/>
    <w:rsid w:val="3B6465E7"/>
    <w:rsid w:val="3B683501"/>
    <w:rsid w:val="3C031EBE"/>
    <w:rsid w:val="3C5A3497"/>
    <w:rsid w:val="3C5B0F76"/>
    <w:rsid w:val="3D3C120E"/>
    <w:rsid w:val="3D9D0F57"/>
    <w:rsid w:val="3E437030"/>
    <w:rsid w:val="3E8A5055"/>
    <w:rsid w:val="3EBF7274"/>
    <w:rsid w:val="3EF91EBF"/>
    <w:rsid w:val="40C76C91"/>
    <w:rsid w:val="40E24BA1"/>
    <w:rsid w:val="41F22534"/>
    <w:rsid w:val="42B262D6"/>
    <w:rsid w:val="43334B5C"/>
    <w:rsid w:val="43825ADD"/>
    <w:rsid w:val="44343903"/>
    <w:rsid w:val="44DC7AEA"/>
    <w:rsid w:val="45B80AAC"/>
    <w:rsid w:val="461437E3"/>
    <w:rsid w:val="461B47BB"/>
    <w:rsid w:val="461B7771"/>
    <w:rsid w:val="46303E16"/>
    <w:rsid w:val="46415463"/>
    <w:rsid w:val="477F287B"/>
    <w:rsid w:val="479F580E"/>
    <w:rsid w:val="482C2A3D"/>
    <w:rsid w:val="490804FD"/>
    <w:rsid w:val="49A9081D"/>
    <w:rsid w:val="49BB2466"/>
    <w:rsid w:val="4AE2021C"/>
    <w:rsid w:val="4AF81884"/>
    <w:rsid w:val="4BE65B1D"/>
    <w:rsid w:val="4CAE2186"/>
    <w:rsid w:val="4ECA0E24"/>
    <w:rsid w:val="50172D11"/>
    <w:rsid w:val="50774F8B"/>
    <w:rsid w:val="507E4C20"/>
    <w:rsid w:val="508E3FB8"/>
    <w:rsid w:val="513B41BF"/>
    <w:rsid w:val="522C4272"/>
    <w:rsid w:val="530C58D0"/>
    <w:rsid w:val="545B5F79"/>
    <w:rsid w:val="5790297D"/>
    <w:rsid w:val="57DC5F7F"/>
    <w:rsid w:val="588E4FEA"/>
    <w:rsid w:val="58D91A69"/>
    <w:rsid w:val="59183835"/>
    <w:rsid w:val="59570E48"/>
    <w:rsid w:val="5ADB58D0"/>
    <w:rsid w:val="5BE50FAF"/>
    <w:rsid w:val="5D6C19DA"/>
    <w:rsid w:val="5D96207B"/>
    <w:rsid w:val="5E97444E"/>
    <w:rsid w:val="5F5861B5"/>
    <w:rsid w:val="5F870CEC"/>
    <w:rsid w:val="5FFC04BD"/>
    <w:rsid w:val="601D28AC"/>
    <w:rsid w:val="62194FA3"/>
    <w:rsid w:val="6282775D"/>
    <w:rsid w:val="62DB5B74"/>
    <w:rsid w:val="63BA75A8"/>
    <w:rsid w:val="64A71287"/>
    <w:rsid w:val="66692063"/>
    <w:rsid w:val="66CC1DBD"/>
    <w:rsid w:val="676F7CFE"/>
    <w:rsid w:val="67BA5C9D"/>
    <w:rsid w:val="67F254F9"/>
    <w:rsid w:val="68625D06"/>
    <w:rsid w:val="6867267F"/>
    <w:rsid w:val="68B176B8"/>
    <w:rsid w:val="68B27785"/>
    <w:rsid w:val="69EE1282"/>
    <w:rsid w:val="69FD6BDF"/>
    <w:rsid w:val="6A7B1711"/>
    <w:rsid w:val="6ADD60E1"/>
    <w:rsid w:val="6B325601"/>
    <w:rsid w:val="6B64526E"/>
    <w:rsid w:val="6B701A54"/>
    <w:rsid w:val="6BAB25AC"/>
    <w:rsid w:val="6C00129E"/>
    <w:rsid w:val="6CD04C7B"/>
    <w:rsid w:val="6D413383"/>
    <w:rsid w:val="6D68195B"/>
    <w:rsid w:val="6DE534FD"/>
    <w:rsid w:val="6EE16F17"/>
    <w:rsid w:val="6EFA4513"/>
    <w:rsid w:val="704D0E4B"/>
    <w:rsid w:val="70A5249F"/>
    <w:rsid w:val="70BA21B8"/>
    <w:rsid w:val="70D52003"/>
    <w:rsid w:val="70EA5182"/>
    <w:rsid w:val="71630537"/>
    <w:rsid w:val="7215371A"/>
    <w:rsid w:val="721E589E"/>
    <w:rsid w:val="72B647B3"/>
    <w:rsid w:val="736804DD"/>
    <w:rsid w:val="73CB0210"/>
    <w:rsid w:val="747C358C"/>
    <w:rsid w:val="74AE12CF"/>
    <w:rsid w:val="758045AC"/>
    <w:rsid w:val="7594376B"/>
    <w:rsid w:val="75D85730"/>
    <w:rsid w:val="76582BA5"/>
    <w:rsid w:val="76C94F3E"/>
    <w:rsid w:val="777216B5"/>
    <w:rsid w:val="78074369"/>
    <w:rsid w:val="78A823B4"/>
    <w:rsid w:val="791722E5"/>
    <w:rsid w:val="79214577"/>
    <w:rsid w:val="79614295"/>
    <w:rsid w:val="7C1E1740"/>
    <w:rsid w:val="7CCD0722"/>
    <w:rsid w:val="7CFD7882"/>
    <w:rsid w:val="7E023363"/>
    <w:rsid w:val="7E5B233D"/>
    <w:rsid w:val="7E7A7D2F"/>
    <w:rsid w:val="7EA1230B"/>
    <w:rsid w:val="7F043437"/>
    <w:rsid w:val="7FA26CC8"/>
    <w:rsid w:val="7FC74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1"/>
    <w:qFormat/>
    <w:uiPriority w:val="1"/>
    <w:pPr>
      <w:spacing w:line="360" w:lineRule="auto"/>
      <w:ind w:firstLine="482" w:firstLineChars="200"/>
      <w:outlineLvl w:val="0"/>
    </w:pPr>
    <w:rPr>
      <w:rFonts w:ascii="宋体" w:hAnsi="宋体" w:cs="华文仿宋"/>
      <w:b/>
      <w:sz w:val="24"/>
      <w:szCs w:val="2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Body Text"/>
    <w:basedOn w:val="1"/>
    <w:link w:val="30"/>
    <w:qFormat/>
    <w:uiPriority w:val="0"/>
    <w:pPr>
      <w:spacing w:after="120"/>
    </w:pPr>
  </w:style>
  <w:style w:type="paragraph" w:styleId="4">
    <w:name w:val="Body Text Indent"/>
    <w:basedOn w:val="1"/>
    <w:qFormat/>
    <w:uiPriority w:val="0"/>
    <w:pPr>
      <w:ind w:firstLine="480"/>
    </w:pPr>
  </w:style>
  <w:style w:type="paragraph" w:styleId="5">
    <w:name w:val="toc 3"/>
    <w:basedOn w:val="1"/>
    <w:next w:val="1"/>
    <w:unhideWhenUsed/>
    <w:uiPriority w:val="39"/>
    <w:pPr>
      <w:widowControl/>
      <w:spacing w:after="100" w:line="259" w:lineRule="auto"/>
      <w:ind w:left="440"/>
      <w:jc w:val="left"/>
    </w:pPr>
    <w:rPr>
      <w:rFonts w:asciiTheme="minorHAnsi" w:hAnsiTheme="minorHAnsi" w:eastAsiaTheme="minorEastAsia"/>
      <w:kern w:val="0"/>
      <w:sz w:val="22"/>
    </w:rPr>
  </w:style>
  <w:style w:type="paragraph" w:styleId="6">
    <w:name w:val="Plain Text"/>
    <w:basedOn w:val="1"/>
    <w:qFormat/>
    <w:uiPriority w:val="0"/>
    <w:rPr>
      <w:rFonts w:ascii="宋体" w:hAnsi="Courier New"/>
    </w:rPr>
  </w:style>
  <w:style w:type="paragraph" w:styleId="7">
    <w:name w:val="Body Text Indent 2"/>
    <w:basedOn w:val="1"/>
    <w:qFormat/>
    <w:uiPriority w:val="0"/>
    <w:pPr>
      <w:ind w:firstLine="480" w:firstLineChars="200"/>
    </w:pPr>
    <w:rPr>
      <w:rFonts w:ascii="宋体" w:hAnsi="宋体"/>
      <w:sz w:val="24"/>
    </w:rPr>
  </w:style>
  <w:style w:type="paragraph" w:styleId="8">
    <w:name w:val="Balloon Text"/>
    <w:basedOn w:val="1"/>
    <w:link w:val="28"/>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pPr>
      <w:tabs>
        <w:tab w:val="right" w:leader="dot" w:pos="9628"/>
      </w:tabs>
      <w:spacing w:line="480" w:lineRule="auto"/>
    </w:pPr>
    <w:rPr>
      <w:rFonts w:ascii="Times New Roman" w:hAnsi="Times New Roman"/>
      <w:szCs w:val="24"/>
    </w:rPr>
  </w:style>
  <w:style w:type="paragraph" w:styleId="12">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rPr>
  </w:style>
  <w:style w:type="paragraph" w:styleId="13">
    <w:name w:val="Normal (Web)"/>
    <w:basedOn w:val="1"/>
    <w:qFormat/>
    <w:uiPriority w:val="0"/>
    <w:pPr>
      <w:widowControl/>
      <w:spacing w:before="100" w:beforeAutospacing="1" w:after="100" w:afterAutospacing="1"/>
      <w:jc w:val="left"/>
    </w:pPr>
    <w:rPr>
      <w:rFonts w:ascii="宋体" w:hAnsi="宋体"/>
      <w:color w:val="003366"/>
      <w:kern w:val="0"/>
      <w:sz w:val="24"/>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basedOn w:val="16"/>
    <w:qFormat/>
    <w:uiPriority w:val="0"/>
  </w:style>
  <w:style w:type="character" w:styleId="19">
    <w:name w:val="Hyperlink"/>
    <w:basedOn w:val="16"/>
    <w:qFormat/>
    <w:uiPriority w:val="99"/>
    <w:rPr>
      <w:color w:val="0000FF"/>
      <w:u w:val="single"/>
    </w:rPr>
  </w:style>
  <w:style w:type="paragraph" w:styleId="20">
    <w:name w:val="List Paragraph"/>
    <w:basedOn w:val="1"/>
    <w:qFormat/>
    <w:uiPriority w:val="1"/>
    <w:pPr>
      <w:ind w:left="560" w:firstLine="528"/>
    </w:pPr>
    <w:rPr>
      <w:rFonts w:ascii="宋体" w:hAnsi="宋体" w:cs="宋体"/>
      <w:lang w:val="zh-CN" w:bidi="zh-CN"/>
    </w:rPr>
  </w:style>
  <w:style w:type="paragraph" w:customStyle="1" w:styleId="21">
    <w:name w:val="标准（正文）"/>
    <w:basedOn w:val="1"/>
    <w:qFormat/>
    <w:uiPriority w:val="0"/>
    <w:pPr>
      <w:spacing w:line="560" w:lineRule="exact"/>
      <w:ind w:firstLine="560" w:firstLineChars="200"/>
    </w:pPr>
    <w:rPr>
      <w:rFonts w:ascii="仿宋_GB2312" w:hAnsi="Times New Roman" w:eastAsia="仿宋_GB2312"/>
      <w:bCs/>
      <w:sz w:val="28"/>
      <w:szCs w:val="28"/>
    </w:rPr>
  </w:style>
  <w:style w:type="paragraph" w:customStyle="1" w:styleId="22">
    <w:name w:val="Body text|1"/>
    <w:basedOn w:val="1"/>
    <w:qFormat/>
    <w:uiPriority w:val="0"/>
    <w:pPr>
      <w:spacing w:line="338" w:lineRule="auto"/>
      <w:ind w:firstLine="400"/>
    </w:pPr>
    <w:rPr>
      <w:rFonts w:ascii="MingLiU" w:hAnsi="MingLiU" w:eastAsia="MingLiU" w:cs="MingLiU"/>
      <w:sz w:val="20"/>
      <w:szCs w:val="20"/>
      <w:lang w:val="zh-TW" w:eastAsia="zh-TW" w:bidi="zh-TW"/>
    </w:rPr>
  </w:style>
  <w:style w:type="paragraph" w:customStyle="1" w:styleId="23">
    <w:name w:val="Table caption|1"/>
    <w:basedOn w:val="1"/>
    <w:qFormat/>
    <w:uiPriority w:val="0"/>
    <w:pPr>
      <w:jc w:val="center"/>
    </w:pPr>
    <w:rPr>
      <w:rFonts w:ascii="MingLiU" w:hAnsi="MingLiU" w:eastAsia="MingLiU" w:cs="MingLiU"/>
      <w:b/>
      <w:bCs/>
      <w:sz w:val="18"/>
      <w:szCs w:val="18"/>
      <w:lang w:val="zh-TW" w:eastAsia="zh-TW" w:bidi="zh-TW"/>
    </w:rPr>
  </w:style>
  <w:style w:type="paragraph" w:customStyle="1" w:styleId="24">
    <w:name w:val="Other|1"/>
    <w:basedOn w:val="1"/>
    <w:qFormat/>
    <w:uiPriority w:val="0"/>
    <w:pPr>
      <w:spacing w:line="338" w:lineRule="auto"/>
      <w:ind w:firstLine="400"/>
    </w:pPr>
    <w:rPr>
      <w:rFonts w:ascii="MingLiU" w:hAnsi="MingLiU" w:eastAsia="MingLiU" w:cs="MingLiU"/>
      <w:sz w:val="20"/>
      <w:szCs w:val="20"/>
      <w:lang w:val="zh-TW" w:eastAsia="zh-TW" w:bidi="zh-TW"/>
    </w:rPr>
  </w:style>
  <w:style w:type="table" w:customStyle="1" w:styleId="25">
    <w:name w:val="网格型1"/>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
    <w:name w:val="网格型2"/>
    <w:basedOn w:val="1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
    <w:name w:val="网格型3"/>
    <w:basedOn w:val="1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
    <w:name w:val="批注框文本 字符"/>
    <w:basedOn w:val="16"/>
    <w:link w:val="8"/>
    <w:qFormat/>
    <w:uiPriority w:val="0"/>
    <w:rPr>
      <w:kern w:val="2"/>
      <w:sz w:val="18"/>
      <w:szCs w:val="18"/>
    </w:rPr>
  </w:style>
  <w:style w:type="paragraph" w:customStyle="1" w:styleId="29">
    <w:name w:val="Table Paragraph"/>
    <w:basedOn w:val="1"/>
    <w:qFormat/>
    <w:uiPriority w:val="1"/>
    <w:rPr>
      <w:rFonts w:ascii="宋体" w:hAnsi="宋体" w:cs="宋体"/>
      <w:szCs w:val="24"/>
      <w:lang w:val="zh-CN" w:bidi="zh-CN"/>
    </w:rPr>
  </w:style>
  <w:style w:type="character" w:customStyle="1" w:styleId="30">
    <w:name w:val="正文文本 字符"/>
    <w:basedOn w:val="16"/>
    <w:link w:val="3"/>
    <w:qFormat/>
    <w:uiPriority w:val="0"/>
    <w:rPr>
      <w:rFonts w:ascii="Calibri" w:hAnsi="Calibri"/>
      <w:kern w:val="2"/>
      <w:sz w:val="21"/>
      <w:szCs w:val="22"/>
    </w:rPr>
  </w:style>
  <w:style w:type="character" w:customStyle="1" w:styleId="31">
    <w:name w:val="标题 1 字符"/>
    <w:basedOn w:val="16"/>
    <w:link w:val="2"/>
    <w:qFormat/>
    <w:uiPriority w:val="1"/>
    <w:rPr>
      <w:rFonts w:ascii="宋体" w:hAnsi="宋体" w:cs="华文仿宋"/>
      <w:b/>
      <w:kern w:val="2"/>
      <w:sz w:val="24"/>
      <w:szCs w:val="24"/>
    </w:rPr>
  </w:style>
  <w:style w:type="paragraph" w:customStyle="1" w:styleId="32">
    <w:name w:val="TOC Heading"/>
    <w:basedOn w:val="2"/>
    <w:next w:val="1"/>
    <w:unhideWhenUsed/>
    <w:qFormat/>
    <w:uiPriority w:val="39"/>
    <w:pPr>
      <w:keepNext/>
      <w:keepLines/>
      <w:widowControl/>
      <w:spacing w:before="240" w:line="259" w:lineRule="auto"/>
      <w:ind w:firstLine="0" w:firstLineChars="0"/>
      <w:jc w:val="left"/>
      <w:outlineLvl w:val="9"/>
    </w:pPr>
    <w:rPr>
      <w:rFonts w:asciiTheme="majorHAnsi" w:hAnsiTheme="majorHAnsi" w:eastAsiaTheme="majorEastAsia" w:cstheme="majorBidi"/>
      <w:b w:val="0"/>
      <w:color w:val="2E75B6" w:themeColor="accent1" w:themeShade="BF"/>
      <w:kern w:val="0"/>
      <w:sz w:val="32"/>
      <w:szCs w:val="32"/>
    </w:rPr>
  </w:style>
  <w:style w:type="character" w:customStyle="1" w:styleId="33">
    <w:name w:val="font122"/>
    <w:basedOn w:val="16"/>
    <w:qFormat/>
    <w:uiPriority w:val="0"/>
    <w:rPr>
      <w:rFonts w:hint="eastAsia" w:ascii="宋体" w:hAnsi="宋体" w:eastAsia="宋体" w:cs="宋体"/>
      <w:b/>
      <w:color w:val="000000"/>
      <w:sz w:val="24"/>
      <w:szCs w:val="24"/>
      <w:u w:val="none"/>
    </w:rPr>
  </w:style>
  <w:style w:type="character" w:customStyle="1" w:styleId="34">
    <w:name w:val="font141"/>
    <w:basedOn w:val="16"/>
    <w:qFormat/>
    <w:uiPriority w:val="0"/>
    <w:rPr>
      <w:rFonts w:ascii="宋" w:hAnsi="宋" w:eastAsia="宋" w:cs="宋"/>
      <w:b/>
      <w:color w:val="000000"/>
      <w:sz w:val="26"/>
      <w:szCs w:val="26"/>
      <w:u w:val="none"/>
    </w:rPr>
  </w:style>
  <w:style w:type="character" w:customStyle="1" w:styleId="35">
    <w:name w:val="font131"/>
    <w:basedOn w:val="16"/>
    <w:qFormat/>
    <w:uiPriority w:val="0"/>
    <w:rPr>
      <w:rFonts w:hint="default" w:ascii="宋" w:hAnsi="宋" w:eastAsia="宋" w:cs="宋"/>
      <w:color w:val="000000"/>
      <w:sz w:val="20"/>
      <w:szCs w:val="20"/>
      <w:u w:val="none"/>
    </w:rPr>
  </w:style>
  <w:style w:type="character" w:customStyle="1" w:styleId="36">
    <w:name w:val="font71"/>
    <w:basedOn w:val="16"/>
    <w:uiPriority w:val="0"/>
    <w:rPr>
      <w:rFonts w:hint="eastAsia" w:ascii="宋体" w:hAnsi="宋体" w:eastAsia="宋体" w:cs="宋体"/>
      <w:b/>
      <w:color w:val="000000"/>
      <w:sz w:val="26"/>
      <w:szCs w:val="26"/>
      <w:u w:val="none"/>
    </w:rPr>
  </w:style>
  <w:style w:type="character" w:customStyle="1" w:styleId="37">
    <w:name w:val="font01"/>
    <w:basedOn w:val="16"/>
    <w:qFormat/>
    <w:uiPriority w:val="0"/>
    <w:rPr>
      <w:rFonts w:hint="eastAsia" w:ascii="宋体" w:hAnsi="宋体" w:eastAsia="宋体" w:cs="宋体"/>
      <w:color w:val="000000"/>
      <w:sz w:val="20"/>
      <w:szCs w:val="20"/>
      <w:u w:val="none"/>
    </w:rPr>
  </w:style>
  <w:style w:type="character" w:customStyle="1" w:styleId="38">
    <w:name w:val="font151"/>
    <w:basedOn w:val="16"/>
    <w:uiPriority w:val="0"/>
    <w:rPr>
      <w:rFonts w:hint="eastAsia" w:ascii="宋体" w:hAnsi="宋体" w:eastAsia="宋体" w:cs="宋体"/>
      <w:color w:val="000000"/>
      <w:sz w:val="18"/>
      <w:szCs w:val="18"/>
      <w:u w:val="none"/>
    </w:rPr>
  </w:style>
  <w:style w:type="character" w:customStyle="1" w:styleId="39">
    <w:name w:val="font12"/>
    <w:basedOn w:val="16"/>
    <w:uiPriority w:val="0"/>
    <w:rPr>
      <w:rFonts w:hint="eastAsia" w:ascii="宋体" w:hAnsi="宋体" w:eastAsia="宋体" w:cs="宋体"/>
      <w:b/>
      <w:color w:val="000000"/>
      <w:sz w:val="20"/>
      <w:szCs w:val="20"/>
      <w:u w:val="none"/>
    </w:rPr>
  </w:style>
  <w:style w:type="character" w:customStyle="1" w:styleId="40">
    <w:name w:val="font2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24246</Words>
  <Characters>24956</Characters>
  <Lines>175</Lines>
  <Paragraphs>49</Paragraphs>
  <TotalTime>0</TotalTime>
  <ScaleCrop>false</ScaleCrop>
  <LinksUpToDate>false</LinksUpToDate>
  <CharactersWithSpaces>25385</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2020-05-27T12:11:00Z</dcterms:created>
  <dc:creator>arkwp</dc:creator>
  <cp:lastModifiedBy>NTKO</cp:lastModifiedBy>
  <cp:lastPrinted>2019-10-05T10:26:00Z</cp:lastPrinted>
  <dcterms:modified xsi:type="dcterms:W3CDTF">2020-11-24T12:08:36Z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