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1" w:lineRule="exact"/>
        <w:ind w:left="128" w:leftChars="61"/>
        <w:jc w:val="center"/>
        <w:rPr>
          <w:rFonts w:hint="eastAsia" w:ascii="方正小标宋简体" w:hAnsi="新宋体" w:eastAsia="方正小标宋简体" w:cs="方正小标宋简体"/>
          <w:color w:val="000000"/>
          <w:spacing w:val="-20"/>
          <w:kern w:val="0"/>
          <w:sz w:val="44"/>
          <w:szCs w:val="44"/>
          <w:lang w:val="zh-CN"/>
        </w:rPr>
      </w:pPr>
      <w:r>
        <w:rPr>
          <w:rFonts w:hint="eastAsia" w:ascii="方正小标宋简体" w:hAnsi="新宋体" w:eastAsia="方正小标宋简体" w:cs="方正小标宋简体"/>
          <w:color w:val="000000"/>
          <w:spacing w:val="-20"/>
          <w:kern w:val="0"/>
          <w:sz w:val="44"/>
          <w:szCs w:val="44"/>
          <w:lang w:val="zh-CN"/>
        </w:rPr>
        <w:t>广东茂名健康职业</w:t>
      </w:r>
      <w:bookmarkStart w:id="0" w:name="_GoBack"/>
      <w:bookmarkEnd w:id="0"/>
      <w:r>
        <w:rPr>
          <w:rFonts w:hint="eastAsia" w:ascii="方正小标宋简体" w:hAnsi="新宋体" w:eastAsia="方正小标宋简体" w:cs="方正小标宋简体"/>
          <w:color w:val="000000"/>
          <w:spacing w:val="-20"/>
          <w:kern w:val="0"/>
          <w:sz w:val="44"/>
          <w:szCs w:val="44"/>
          <w:lang w:val="zh-CN"/>
        </w:rPr>
        <w:t>学院差旅费管理办法（</w:t>
      </w:r>
      <w:r>
        <w:rPr>
          <w:rFonts w:hint="eastAsia" w:ascii="方正小标宋简体" w:hAnsi="新宋体" w:eastAsia="方正小标宋简体" w:cs="方正小标宋简体"/>
          <w:color w:val="000000"/>
          <w:spacing w:val="-20"/>
          <w:kern w:val="0"/>
          <w:sz w:val="44"/>
          <w:szCs w:val="44"/>
          <w:lang w:val="zh-CN" w:eastAsia="zh-CN"/>
        </w:rPr>
        <w:t>试行</w:t>
      </w:r>
      <w:r>
        <w:rPr>
          <w:rFonts w:hint="eastAsia" w:ascii="方正小标宋简体" w:hAnsi="新宋体" w:eastAsia="方正小标宋简体" w:cs="方正小标宋简体"/>
          <w:color w:val="000000"/>
          <w:spacing w:val="-20"/>
          <w:kern w:val="0"/>
          <w:sz w:val="44"/>
          <w:szCs w:val="44"/>
          <w:lang w:val="zh-CN"/>
        </w:rPr>
        <w:t>）</w:t>
      </w:r>
    </w:p>
    <w:p>
      <w:pPr>
        <w:spacing w:line="480" w:lineRule="exact"/>
        <w:jc w:val="center"/>
        <w:rPr>
          <w:rFonts w:ascii="仿宋_GB2312" w:eastAsia="仿宋_GB2312"/>
          <w:sz w:val="32"/>
          <w:szCs w:val="32"/>
        </w:rPr>
      </w:pPr>
    </w:p>
    <w:p>
      <w:pPr>
        <w:spacing w:line="451" w:lineRule="exact"/>
        <w:ind w:left="128" w:leftChars="61"/>
        <w:jc w:val="center"/>
        <w:rPr>
          <w:rFonts w:ascii="新宋体" w:hAnsi="新宋体" w:eastAsia="新宋体" w:cs="方正小标宋简体"/>
          <w:b/>
          <w:color w:val="000000"/>
          <w:spacing w:val="-20"/>
          <w:kern w:val="0"/>
          <w:sz w:val="44"/>
          <w:szCs w:val="44"/>
        </w:rPr>
      </w:pPr>
    </w:p>
    <w:p>
      <w:pPr>
        <w:spacing w:line="345" w:lineRule="atLeast"/>
        <w:ind w:firstLine="3184" w:firstLineChars="995"/>
        <w:rPr>
          <w:rFonts w:ascii="黑体" w:hAnsi="黑体" w:eastAsia="黑体"/>
          <w:color w:val="000000"/>
          <w:sz w:val="32"/>
          <w:szCs w:val="32"/>
        </w:rPr>
      </w:pPr>
      <w:r>
        <w:rPr>
          <w:rFonts w:hint="eastAsia" w:ascii="黑体" w:hAnsi="黑体" w:eastAsia="黑体"/>
          <w:color w:val="000000"/>
          <w:sz w:val="32"/>
          <w:szCs w:val="32"/>
        </w:rPr>
        <w:t>第一章  总 则</w:t>
      </w:r>
    </w:p>
    <w:p>
      <w:pPr>
        <w:spacing w:line="560" w:lineRule="exact"/>
        <w:ind w:firstLine="640" w:firstLineChars="200"/>
        <w:rPr>
          <w:rFonts w:ascii="仿宋_GB2312" w:eastAsia="仿宋_GB2312"/>
          <w:b/>
          <w:color w:val="000000"/>
          <w:sz w:val="32"/>
          <w:szCs w:val="32"/>
        </w:rPr>
      </w:pPr>
      <w:r>
        <w:rPr>
          <w:rFonts w:hint="eastAsia" w:ascii="黑体" w:hAnsi="黑体" w:eastAsia="黑体"/>
          <w:color w:val="000000"/>
          <w:sz w:val="32"/>
          <w:szCs w:val="32"/>
        </w:rPr>
        <w:t>第一条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为进一步加强和改进</w:t>
      </w:r>
      <w:r>
        <w:rPr>
          <w:rFonts w:hint="eastAsia" w:ascii="仿宋_GB2312" w:eastAsia="仿宋_GB2312"/>
          <w:color w:val="000000"/>
          <w:sz w:val="32"/>
          <w:szCs w:val="32"/>
          <w:lang w:eastAsia="zh-CN"/>
        </w:rPr>
        <w:t>学院</w:t>
      </w:r>
      <w:r>
        <w:rPr>
          <w:rFonts w:hint="eastAsia" w:ascii="仿宋_GB2312" w:eastAsia="仿宋_GB2312"/>
          <w:color w:val="000000"/>
          <w:sz w:val="32"/>
          <w:szCs w:val="32"/>
        </w:rPr>
        <w:t>差旅费管理，推进厉行节约反对浪费，根据《党政机关厉行节约反对浪费条例》的精神，参照《茂名市直党政机关和事业单位差旅费管理办法》（茂财行【2015】245号）</w:t>
      </w:r>
      <w:r>
        <w:rPr>
          <w:rFonts w:hint="eastAsia" w:ascii="仿宋_GB2312" w:eastAsia="仿宋_GB2312"/>
          <w:color w:val="000000"/>
          <w:sz w:val="32"/>
          <w:szCs w:val="32"/>
          <w:lang w:eastAsia="zh-CN"/>
        </w:rPr>
        <w:t>和</w:t>
      </w:r>
      <w:r>
        <w:rPr>
          <w:rFonts w:hint="eastAsia" w:ascii="仿宋_GB2312" w:eastAsia="仿宋_GB2312"/>
          <w:color w:val="000000"/>
          <w:sz w:val="32"/>
          <w:szCs w:val="32"/>
        </w:rPr>
        <w:t>《茂名市电白区区直</w:t>
      </w:r>
      <w:r>
        <w:rPr>
          <w:rFonts w:hint="eastAsia" w:ascii="仿宋_GB2312" w:eastAsia="仿宋_GB2312"/>
          <w:color w:val="000000"/>
          <w:sz w:val="32"/>
          <w:szCs w:val="32"/>
          <w:lang w:eastAsia="zh-CN"/>
        </w:rPr>
        <w:t>党</w:t>
      </w:r>
      <w:r>
        <w:rPr>
          <w:rFonts w:hint="eastAsia" w:ascii="仿宋_GB2312" w:eastAsia="仿宋_GB2312"/>
          <w:color w:val="000000"/>
          <w:sz w:val="32"/>
          <w:szCs w:val="32"/>
        </w:rPr>
        <w:t>政机关和事业单位差旅费管理办法(修订)》（电财行[2019] 14 号），结合</w:t>
      </w:r>
      <w:r>
        <w:rPr>
          <w:rFonts w:hint="eastAsia" w:ascii="仿宋_GB2312" w:eastAsia="仿宋_GB2312"/>
          <w:color w:val="000000"/>
          <w:sz w:val="32"/>
          <w:szCs w:val="32"/>
          <w:lang w:eastAsia="zh-CN"/>
        </w:rPr>
        <w:t>学院</w:t>
      </w:r>
      <w:r>
        <w:rPr>
          <w:rFonts w:hint="eastAsia" w:ascii="仿宋_GB2312" w:eastAsia="仿宋_GB2312"/>
          <w:color w:val="000000"/>
          <w:sz w:val="32"/>
          <w:szCs w:val="32"/>
        </w:rPr>
        <w:t>实际，制定本办法。</w:t>
      </w:r>
      <w:r>
        <w:rPr>
          <w:rFonts w:hint="eastAsia" w:ascii="仿宋_GB2312" w:eastAsia="仿宋_GB2312"/>
          <w:b/>
          <w:color w:val="000000"/>
          <w:sz w:val="32"/>
          <w:szCs w:val="32"/>
        </w:rPr>
        <w:t xml:space="preserve"> </w:t>
      </w:r>
    </w:p>
    <w:p>
      <w:pPr>
        <w:spacing w:line="560" w:lineRule="exact"/>
        <w:ind w:firstLine="640" w:firstLineChars="200"/>
        <w:rPr>
          <w:rFonts w:hint="eastAsia" w:ascii="仿宋_GB2312" w:eastAsia="仿宋_GB2312"/>
          <w:color w:val="FF0000"/>
          <w:sz w:val="32"/>
          <w:szCs w:val="32"/>
        </w:rPr>
      </w:pPr>
      <w:r>
        <w:rPr>
          <w:rFonts w:hint="eastAsia" w:ascii="黑体" w:hAnsi="黑体" w:eastAsia="黑体"/>
          <w:color w:val="000000"/>
          <w:sz w:val="32"/>
          <w:szCs w:val="32"/>
        </w:rPr>
        <w:t>第二条</w:t>
      </w:r>
      <w:r>
        <w:rPr>
          <w:rFonts w:hint="eastAsia" w:ascii="仿宋_GB2312" w:eastAsia="仿宋_GB2312"/>
          <w:color w:val="000000"/>
          <w:sz w:val="32"/>
          <w:szCs w:val="32"/>
        </w:rPr>
        <w:t xml:space="preserve"> 本办法所称差旅费，是指教职工因公到电白区中心城区以外地区出差期间所发生的费用,包括城市间交通费、住宿费、伙食补助费和区内交通费，但不包括因公出国 (境) 所发生的费用。</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本办法所指的电白区中心城区，是区委、区政府驻地中心城区范围，包括水东街道、陈村街道、电海街道、南海街道、高地街道、沙院镇的海属、木苏、新洲、金凤村委会</w:t>
      </w:r>
      <w:r>
        <w:rPr>
          <w:rFonts w:hint="eastAsia" w:ascii="仿宋_GB2312" w:eastAsia="仿宋_GB2312"/>
          <w:color w:val="000000"/>
          <w:sz w:val="32"/>
          <w:szCs w:val="32"/>
          <w:lang w:val="en-US" w:eastAsia="zh-CN"/>
        </w:rPr>
        <w:t>.</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教职工因公出差必须按规定履行报批手续，从严控制出差人数和天数，严禁无实质内容、无明确公务目的的学习、交流、考察、调研等活动，严禁以公务差旅为名变相旅游。</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部门差旅费纳入</w:t>
      </w:r>
      <w:r>
        <w:rPr>
          <w:rFonts w:hint="eastAsia" w:ascii="仿宋_GB2312" w:eastAsia="仿宋_GB2312"/>
          <w:color w:val="000000"/>
          <w:sz w:val="32"/>
          <w:szCs w:val="32"/>
          <w:lang w:eastAsia="zh-CN"/>
        </w:rPr>
        <w:t>学院</w:t>
      </w:r>
      <w:r>
        <w:rPr>
          <w:rFonts w:hint="eastAsia" w:ascii="仿宋_GB2312" w:eastAsia="仿宋_GB2312"/>
          <w:color w:val="000000"/>
          <w:sz w:val="32"/>
          <w:szCs w:val="32"/>
        </w:rPr>
        <w:t>年度预（决）算管理，在保障公务活动正常开展前提下，不得以任何方式转嫁差旅费。</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第五条</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学院</w:t>
      </w:r>
      <w:r>
        <w:rPr>
          <w:rFonts w:hint="eastAsia" w:ascii="仿宋_GB2312" w:eastAsia="仿宋_GB2312"/>
          <w:color w:val="000000"/>
          <w:sz w:val="32"/>
          <w:szCs w:val="32"/>
        </w:rPr>
        <w:t>严格执行茂名市财政局</w:t>
      </w:r>
      <w:r>
        <w:rPr>
          <w:rFonts w:hint="eastAsia" w:ascii="仿宋_GB2312" w:eastAsia="仿宋_GB2312"/>
          <w:color w:val="000000"/>
          <w:sz w:val="32"/>
          <w:szCs w:val="32"/>
          <w:lang w:eastAsia="zh-CN"/>
        </w:rPr>
        <w:t>和电白县财政局</w:t>
      </w:r>
      <w:r>
        <w:rPr>
          <w:rFonts w:hint="eastAsia" w:ascii="仿宋_GB2312" w:eastAsia="仿宋_GB2312"/>
          <w:color w:val="000000"/>
          <w:sz w:val="32"/>
          <w:szCs w:val="32"/>
        </w:rPr>
        <w:t>制定的差旅费开支标准，并根据市场价格及消费水平变动情况适时调整。</w:t>
      </w:r>
    </w:p>
    <w:p>
      <w:pPr>
        <w:spacing w:line="560" w:lineRule="exact"/>
        <w:ind w:firstLine="2720" w:firstLineChars="850"/>
        <w:rPr>
          <w:rFonts w:ascii="黑体" w:hAnsi="黑体" w:eastAsia="黑体"/>
          <w:color w:val="000000"/>
          <w:sz w:val="32"/>
          <w:szCs w:val="32"/>
        </w:rPr>
      </w:pPr>
      <w:r>
        <w:rPr>
          <w:rFonts w:hint="eastAsia" w:ascii="黑体" w:hAnsi="黑体" w:eastAsia="黑体"/>
          <w:color w:val="000000"/>
          <w:sz w:val="32"/>
          <w:szCs w:val="32"/>
        </w:rPr>
        <w:t>第二章  城市间交通费</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eastAsia="仿宋_GB2312"/>
          <w:color w:val="000000"/>
          <w:sz w:val="32"/>
          <w:szCs w:val="32"/>
        </w:rPr>
        <w:t xml:space="preserve"> 城市间交通费是指教职工因公到电白区中心城区以外地区出差乘坐公共汽车、火车、轮船、飞机等交通工具所发生的费用。</w:t>
      </w:r>
    </w:p>
    <w:p>
      <w:pPr>
        <w:spacing w:line="560" w:lineRule="exact"/>
        <w:ind w:firstLine="640" w:firstLineChars="200"/>
        <w:rPr>
          <w:rFonts w:ascii="仿宋_GB2312" w:eastAsia="仿宋_GB2312"/>
          <w:sz w:val="32"/>
          <w:szCs w:val="32"/>
        </w:rPr>
      </w:pPr>
      <w:r>
        <w:rPr>
          <w:rFonts w:hint="eastAsia" w:ascii="黑体" w:hAnsi="黑体" w:eastAsia="黑体"/>
          <w:color w:val="000000"/>
          <w:sz w:val="32"/>
          <w:szCs w:val="32"/>
        </w:rPr>
        <w:t>第七条</w:t>
      </w:r>
      <w:r>
        <w:rPr>
          <w:rFonts w:hint="eastAsia" w:ascii="仿宋_GB2312" w:eastAsia="仿宋_GB2312"/>
          <w:color w:val="000000"/>
          <w:sz w:val="32"/>
          <w:szCs w:val="32"/>
        </w:rPr>
        <w:t xml:space="preserve"> 出差人员在不影响公务、确保安全的前提下，按照经济、便捷原则选择合适的交通工具，按规定等级乘坐，凭据报销。未按规定等级乘坐交通工具的，超支部分自理。</w:t>
      </w:r>
      <w:r>
        <w:rPr>
          <w:rFonts w:hint="eastAsia" w:ascii="仿宋_GB2312" w:eastAsia="仿宋_GB2312"/>
          <w:sz w:val="32"/>
          <w:szCs w:val="32"/>
        </w:rPr>
        <w:t>乘坐交通工具的规定等级如下：</w:t>
      </w:r>
    </w:p>
    <w:tbl>
      <w:tblPr>
        <w:tblStyle w:val="5"/>
        <w:tblW w:w="8326" w:type="dxa"/>
        <w:jc w:val="center"/>
        <w:tblInd w:w="0" w:type="dxa"/>
        <w:tblLayout w:type="fixed"/>
        <w:tblCellMar>
          <w:top w:w="0" w:type="dxa"/>
          <w:left w:w="0" w:type="dxa"/>
          <w:bottom w:w="0" w:type="dxa"/>
          <w:right w:w="0" w:type="dxa"/>
        </w:tblCellMar>
      </w:tblPr>
      <w:tblGrid>
        <w:gridCol w:w="1949"/>
        <w:gridCol w:w="1868"/>
        <w:gridCol w:w="1541"/>
        <w:gridCol w:w="1590"/>
        <w:gridCol w:w="1378"/>
      </w:tblGrid>
      <w:tr>
        <w:tblPrEx>
          <w:tblLayout w:type="fixed"/>
        </w:tblPrEx>
        <w:trPr>
          <w:trHeight w:val="1012" w:hRule="atLeast"/>
          <w:jc w:val="center"/>
        </w:trPr>
        <w:tc>
          <w:tcPr>
            <w:tcW w:w="1949" w:type="dxa"/>
            <w:tcBorders>
              <w:top w:val="single" w:color="auto" w:sz="8" w:space="0"/>
              <w:left w:val="single" w:color="auto" w:sz="8" w:space="0"/>
              <w:bottom w:val="single" w:color="auto" w:sz="8" w:space="0"/>
              <w:right w:val="single" w:color="auto" w:sz="8" w:space="0"/>
              <w:tl2br w:val="single" w:color="auto" w:sz="4" w:space="0"/>
            </w:tcBorders>
            <w:vAlign w:val="center"/>
          </w:tcPr>
          <w:p>
            <w:pPr>
              <w:ind w:left="141" w:hanging="141"/>
              <w:jc w:val="left"/>
              <w:textAlignment w:val="baseline"/>
              <w:rPr>
                <w:rFonts w:ascii="Arial" w:hAnsi="Arial" w:cs="Arial"/>
                <w:kern w:val="0"/>
                <w:sz w:val="18"/>
                <w:szCs w:val="18"/>
              </w:rPr>
            </w:pPr>
            <w:r>
              <w:rPr>
                <w:rFonts w:ascii="Arial" w:hAnsi="Arial" w:cs="Arial"/>
                <w:kern w:val="0"/>
                <w:sz w:val="18"/>
                <w:szCs w:val="18"/>
              </w:rPr>
              <w:t xml:space="preserve">  </w:t>
            </w:r>
            <w:r>
              <w:rPr>
                <w:rFonts w:hint="eastAsia" w:ascii="Arial" w:hAnsi="Arial" w:cs="Arial"/>
                <w:kern w:val="0"/>
                <w:sz w:val="18"/>
                <w:szCs w:val="18"/>
              </w:rPr>
              <w:t xml:space="preserve">          交通工具</w:t>
            </w:r>
          </w:p>
          <w:p>
            <w:pPr>
              <w:ind w:firstLine="90" w:firstLineChars="50"/>
              <w:jc w:val="left"/>
              <w:textAlignment w:val="baseline"/>
              <w:rPr>
                <w:rFonts w:ascii="Arial" w:hAnsi="Arial" w:cs="Arial"/>
                <w:kern w:val="0"/>
                <w:sz w:val="18"/>
                <w:szCs w:val="18"/>
              </w:rPr>
            </w:pPr>
            <w:r>
              <w:rPr>
                <w:rFonts w:hint="eastAsia" w:ascii="宋体" w:hAnsi="宋体" w:cs="Arial"/>
                <w:bCs/>
                <w:kern w:val="0"/>
                <w:sz w:val="18"/>
                <w:szCs w:val="18"/>
              </w:rPr>
              <w:t>级 别</w:t>
            </w:r>
            <w:r>
              <w:rPr>
                <w:rFonts w:ascii="Arial" w:hAnsi="Arial" w:cs="Arial"/>
                <w:kern w:val="0"/>
                <w:sz w:val="18"/>
                <w:szCs w:val="18"/>
              </w:rPr>
              <w:t xml:space="preserve"> </w:t>
            </w:r>
          </w:p>
        </w:tc>
        <w:tc>
          <w:tcPr>
            <w:tcW w:w="1868" w:type="dxa"/>
            <w:tcBorders>
              <w:top w:val="single" w:color="auto" w:sz="8" w:space="0"/>
              <w:left w:val="single" w:color="auto" w:sz="8" w:space="0"/>
              <w:bottom w:val="single" w:color="auto" w:sz="8" w:space="0"/>
              <w:right w:val="single" w:color="auto" w:sz="8" w:space="0"/>
            </w:tcBorders>
            <w:vAlign w:val="center"/>
          </w:tcPr>
          <w:p>
            <w:pPr>
              <w:jc w:val="center"/>
              <w:textAlignment w:val="baseline"/>
              <w:rPr>
                <w:rFonts w:ascii="Arial" w:hAnsi="Arial" w:cs="Arial"/>
                <w:kern w:val="0"/>
                <w:sz w:val="18"/>
                <w:szCs w:val="18"/>
              </w:rPr>
            </w:pPr>
            <w:r>
              <w:rPr>
                <w:rFonts w:hint="eastAsia" w:ascii="宋体" w:hAnsi="宋体" w:cs="Arial"/>
                <w:bCs/>
                <w:kern w:val="0"/>
                <w:sz w:val="18"/>
                <w:szCs w:val="18"/>
              </w:rPr>
              <w:t>火车（含高铁、动车、全列软席列车）</w:t>
            </w:r>
            <w:r>
              <w:rPr>
                <w:rFonts w:ascii="Arial" w:hAnsi="Arial" w:cs="Arial"/>
                <w:kern w:val="0"/>
                <w:sz w:val="18"/>
                <w:szCs w:val="18"/>
              </w:rPr>
              <w:t xml:space="preserve"> </w:t>
            </w:r>
          </w:p>
        </w:tc>
        <w:tc>
          <w:tcPr>
            <w:tcW w:w="1541" w:type="dxa"/>
            <w:tcBorders>
              <w:top w:val="single" w:color="auto" w:sz="8" w:space="0"/>
              <w:left w:val="single" w:color="auto" w:sz="8" w:space="0"/>
              <w:bottom w:val="single" w:color="auto" w:sz="8" w:space="0"/>
              <w:right w:val="single" w:color="auto" w:sz="8" w:space="0"/>
            </w:tcBorders>
            <w:vAlign w:val="center"/>
          </w:tcPr>
          <w:p>
            <w:pPr>
              <w:jc w:val="center"/>
              <w:textAlignment w:val="baseline"/>
              <w:rPr>
                <w:rFonts w:ascii="Arial" w:hAnsi="Arial" w:cs="Arial"/>
                <w:kern w:val="0"/>
                <w:sz w:val="18"/>
                <w:szCs w:val="18"/>
              </w:rPr>
            </w:pPr>
            <w:r>
              <w:rPr>
                <w:rFonts w:hint="eastAsia" w:ascii="宋体" w:hAnsi="宋体" w:cs="Arial"/>
                <w:bCs/>
                <w:kern w:val="0"/>
                <w:sz w:val="18"/>
                <w:szCs w:val="18"/>
              </w:rPr>
              <w:t>轮船（不包括旅游船）</w:t>
            </w:r>
            <w:r>
              <w:rPr>
                <w:rFonts w:ascii="Arial" w:hAnsi="Arial" w:cs="Arial"/>
                <w:kern w:val="0"/>
                <w:sz w:val="18"/>
                <w:szCs w:val="18"/>
              </w:rPr>
              <w:t xml:space="preserve"> </w:t>
            </w:r>
          </w:p>
        </w:tc>
        <w:tc>
          <w:tcPr>
            <w:tcW w:w="1590" w:type="dxa"/>
            <w:tcBorders>
              <w:top w:val="single" w:color="auto" w:sz="8" w:space="0"/>
              <w:left w:val="single" w:color="auto" w:sz="8" w:space="0"/>
              <w:bottom w:val="single" w:color="auto" w:sz="8" w:space="0"/>
              <w:right w:val="single" w:color="auto" w:sz="8" w:space="0"/>
            </w:tcBorders>
            <w:vAlign w:val="center"/>
          </w:tcPr>
          <w:p>
            <w:pPr>
              <w:jc w:val="center"/>
              <w:textAlignment w:val="baseline"/>
              <w:rPr>
                <w:rFonts w:ascii="Arial" w:hAnsi="Arial" w:cs="Arial"/>
                <w:kern w:val="0"/>
                <w:sz w:val="18"/>
                <w:szCs w:val="18"/>
              </w:rPr>
            </w:pPr>
            <w:r>
              <w:rPr>
                <w:rFonts w:hint="eastAsia" w:ascii="宋体" w:hAnsi="宋体" w:cs="Arial"/>
                <w:bCs/>
                <w:kern w:val="0"/>
                <w:sz w:val="18"/>
                <w:szCs w:val="18"/>
              </w:rPr>
              <w:t>飞机</w:t>
            </w:r>
            <w:r>
              <w:rPr>
                <w:rFonts w:ascii="Arial" w:hAnsi="Arial" w:cs="Arial"/>
                <w:kern w:val="0"/>
                <w:sz w:val="18"/>
                <w:szCs w:val="18"/>
              </w:rPr>
              <w:t xml:space="preserve"> </w:t>
            </w:r>
          </w:p>
        </w:tc>
        <w:tc>
          <w:tcPr>
            <w:tcW w:w="1378" w:type="dxa"/>
            <w:tcBorders>
              <w:top w:val="single" w:color="auto" w:sz="8" w:space="0"/>
              <w:left w:val="single" w:color="auto" w:sz="8" w:space="0"/>
              <w:bottom w:val="single" w:color="auto" w:sz="8" w:space="0"/>
              <w:right w:val="single" w:color="auto" w:sz="8" w:space="0"/>
            </w:tcBorders>
            <w:vAlign w:val="center"/>
          </w:tcPr>
          <w:p>
            <w:pPr>
              <w:jc w:val="left"/>
              <w:textAlignment w:val="baseline"/>
              <w:rPr>
                <w:rFonts w:ascii="Arial" w:hAnsi="Arial" w:cs="Arial"/>
                <w:kern w:val="0"/>
                <w:sz w:val="18"/>
                <w:szCs w:val="18"/>
              </w:rPr>
            </w:pPr>
            <w:r>
              <w:rPr>
                <w:rFonts w:hint="eastAsia" w:ascii="宋体" w:hAnsi="宋体" w:cs="Arial"/>
                <w:bCs/>
                <w:kern w:val="0"/>
                <w:sz w:val="18"/>
                <w:szCs w:val="18"/>
              </w:rPr>
              <w:t>其他交通工具(不包括出租小汽车)</w:t>
            </w:r>
            <w:r>
              <w:rPr>
                <w:rFonts w:ascii="Arial" w:hAnsi="Arial" w:cs="Arial"/>
                <w:kern w:val="0"/>
                <w:sz w:val="18"/>
                <w:szCs w:val="18"/>
              </w:rPr>
              <w:t xml:space="preserve"> </w:t>
            </w:r>
          </w:p>
        </w:tc>
      </w:tr>
      <w:tr>
        <w:tblPrEx>
          <w:tblLayout w:type="fixed"/>
          <w:tblCellMar>
            <w:top w:w="0" w:type="dxa"/>
            <w:left w:w="0" w:type="dxa"/>
            <w:bottom w:w="0" w:type="dxa"/>
            <w:right w:w="0" w:type="dxa"/>
          </w:tblCellMar>
        </w:tblPrEx>
        <w:trPr>
          <w:trHeight w:val="1072" w:hRule="atLeast"/>
          <w:jc w:val="center"/>
        </w:trPr>
        <w:tc>
          <w:tcPr>
            <w:tcW w:w="1949" w:type="dxa"/>
            <w:tcBorders>
              <w:top w:val="single" w:color="auto" w:sz="8" w:space="0"/>
              <w:left w:val="single" w:color="auto" w:sz="8" w:space="0"/>
              <w:bottom w:val="single" w:color="auto" w:sz="8" w:space="0"/>
              <w:right w:val="single" w:color="auto" w:sz="8" w:space="0"/>
            </w:tcBorders>
            <w:vAlign w:val="center"/>
          </w:tcPr>
          <w:p>
            <w:pPr>
              <w:jc w:val="left"/>
              <w:textAlignment w:val="baseline"/>
              <w:rPr>
                <w:rFonts w:ascii="宋体" w:hAnsi="宋体" w:cs="Arial"/>
                <w:kern w:val="0"/>
                <w:sz w:val="18"/>
                <w:szCs w:val="18"/>
              </w:rPr>
            </w:pPr>
            <w:r>
              <w:rPr>
                <w:rFonts w:hint="eastAsia" w:ascii="宋体" w:hAnsi="宋体" w:cs="Arial"/>
                <w:kern w:val="0"/>
                <w:sz w:val="18"/>
                <w:szCs w:val="18"/>
              </w:rPr>
              <w:t>厅级、教授</w:t>
            </w:r>
          </w:p>
          <w:p>
            <w:pPr>
              <w:jc w:val="left"/>
              <w:textAlignment w:val="baseline"/>
              <w:rPr>
                <w:rFonts w:ascii="Arial" w:hAnsi="Arial" w:cs="Arial"/>
                <w:kern w:val="0"/>
                <w:sz w:val="18"/>
                <w:szCs w:val="18"/>
              </w:rPr>
            </w:pPr>
            <w:r>
              <w:rPr>
                <w:rFonts w:hint="eastAsia" w:ascii="宋体" w:hAnsi="宋体" w:cs="Arial"/>
                <w:kern w:val="0"/>
                <w:sz w:val="18"/>
                <w:szCs w:val="18"/>
              </w:rPr>
              <w:t>及相当职务人员</w:t>
            </w:r>
            <w:r>
              <w:rPr>
                <w:rFonts w:ascii="Arial" w:hAnsi="Arial" w:cs="Arial"/>
                <w:kern w:val="0"/>
                <w:sz w:val="18"/>
                <w:szCs w:val="18"/>
              </w:rPr>
              <w:t xml:space="preserve"> </w:t>
            </w:r>
          </w:p>
        </w:tc>
        <w:tc>
          <w:tcPr>
            <w:tcW w:w="1868" w:type="dxa"/>
            <w:tcBorders>
              <w:top w:val="single" w:color="auto" w:sz="8" w:space="0"/>
              <w:left w:val="single" w:color="auto" w:sz="8" w:space="0"/>
              <w:bottom w:val="single" w:color="auto" w:sz="8" w:space="0"/>
              <w:right w:val="single" w:color="auto" w:sz="8" w:space="0"/>
            </w:tcBorders>
            <w:vAlign w:val="center"/>
          </w:tcPr>
          <w:p>
            <w:pPr>
              <w:jc w:val="left"/>
              <w:textAlignment w:val="baseline"/>
              <w:rPr>
                <w:rFonts w:ascii="Arial" w:hAnsi="Arial" w:cs="Arial"/>
                <w:kern w:val="0"/>
                <w:sz w:val="18"/>
                <w:szCs w:val="18"/>
              </w:rPr>
            </w:pPr>
            <w:r>
              <w:rPr>
                <w:rFonts w:hint="eastAsia" w:ascii="宋体" w:hAnsi="宋体" w:cs="Arial"/>
                <w:kern w:val="0"/>
                <w:sz w:val="18"/>
                <w:szCs w:val="18"/>
              </w:rPr>
              <w:t>软席（软座、软卧），高铁/动车一等座，全列软席列车一等软座</w:t>
            </w:r>
            <w:r>
              <w:rPr>
                <w:rFonts w:ascii="Arial" w:hAnsi="Arial" w:cs="Arial"/>
                <w:kern w:val="0"/>
                <w:sz w:val="18"/>
                <w:szCs w:val="18"/>
              </w:rPr>
              <w:t xml:space="preserve"> </w:t>
            </w:r>
          </w:p>
        </w:tc>
        <w:tc>
          <w:tcPr>
            <w:tcW w:w="1541" w:type="dxa"/>
            <w:tcBorders>
              <w:top w:val="single" w:color="auto" w:sz="8" w:space="0"/>
              <w:left w:val="single" w:color="auto" w:sz="8" w:space="0"/>
              <w:bottom w:val="single" w:color="auto" w:sz="8" w:space="0"/>
              <w:right w:val="single" w:color="auto" w:sz="8" w:space="0"/>
            </w:tcBorders>
            <w:vAlign w:val="center"/>
          </w:tcPr>
          <w:p>
            <w:pPr>
              <w:jc w:val="center"/>
              <w:textAlignment w:val="baseline"/>
              <w:rPr>
                <w:rFonts w:ascii="Arial" w:hAnsi="Arial" w:cs="Arial"/>
                <w:kern w:val="0"/>
                <w:sz w:val="18"/>
                <w:szCs w:val="18"/>
              </w:rPr>
            </w:pPr>
            <w:r>
              <w:rPr>
                <w:rFonts w:hint="eastAsia" w:ascii="宋体" w:hAnsi="宋体" w:cs="Arial"/>
                <w:kern w:val="0"/>
                <w:sz w:val="18"/>
                <w:szCs w:val="18"/>
              </w:rPr>
              <w:t>二等舱</w:t>
            </w:r>
            <w:r>
              <w:rPr>
                <w:rFonts w:ascii="Arial" w:hAnsi="Arial" w:cs="Arial"/>
                <w:kern w:val="0"/>
                <w:sz w:val="18"/>
                <w:szCs w:val="18"/>
              </w:rPr>
              <w:t xml:space="preserve"> </w:t>
            </w:r>
          </w:p>
        </w:tc>
        <w:tc>
          <w:tcPr>
            <w:tcW w:w="1590" w:type="dxa"/>
            <w:tcBorders>
              <w:top w:val="single" w:color="auto" w:sz="8" w:space="0"/>
              <w:left w:val="single" w:color="auto" w:sz="8" w:space="0"/>
              <w:bottom w:val="single" w:color="auto" w:sz="8" w:space="0"/>
              <w:right w:val="single" w:color="auto" w:sz="8" w:space="0"/>
            </w:tcBorders>
            <w:vAlign w:val="center"/>
          </w:tcPr>
          <w:p>
            <w:pPr>
              <w:ind w:firstLine="448"/>
              <w:jc w:val="left"/>
              <w:textAlignment w:val="baseline"/>
              <w:rPr>
                <w:rFonts w:ascii="Arial" w:hAnsi="Arial" w:cs="Arial"/>
                <w:kern w:val="0"/>
                <w:sz w:val="18"/>
                <w:szCs w:val="18"/>
              </w:rPr>
            </w:pPr>
            <w:r>
              <w:rPr>
                <w:rFonts w:hint="eastAsia" w:ascii="宋体" w:hAnsi="宋体" w:cs="Arial"/>
                <w:kern w:val="0"/>
                <w:sz w:val="18"/>
                <w:szCs w:val="18"/>
              </w:rPr>
              <w:t>经济舱</w:t>
            </w:r>
            <w:r>
              <w:rPr>
                <w:rFonts w:ascii="Arial" w:hAnsi="Arial" w:cs="Arial"/>
                <w:kern w:val="0"/>
                <w:sz w:val="18"/>
                <w:szCs w:val="18"/>
              </w:rPr>
              <w:t xml:space="preserve"> </w:t>
            </w:r>
          </w:p>
        </w:tc>
        <w:tc>
          <w:tcPr>
            <w:tcW w:w="1378" w:type="dxa"/>
            <w:tcBorders>
              <w:top w:val="single" w:color="auto" w:sz="8" w:space="0"/>
              <w:left w:val="single" w:color="auto" w:sz="8" w:space="0"/>
              <w:bottom w:val="single" w:color="auto" w:sz="8" w:space="0"/>
              <w:right w:val="single" w:color="auto" w:sz="8" w:space="0"/>
            </w:tcBorders>
            <w:vAlign w:val="center"/>
          </w:tcPr>
          <w:p>
            <w:pPr>
              <w:jc w:val="center"/>
              <w:textAlignment w:val="baseline"/>
              <w:rPr>
                <w:rFonts w:ascii="Arial" w:hAnsi="Arial" w:cs="Arial"/>
                <w:kern w:val="0"/>
                <w:sz w:val="18"/>
                <w:szCs w:val="18"/>
              </w:rPr>
            </w:pPr>
            <w:r>
              <w:rPr>
                <w:rFonts w:hint="eastAsia" w:ascii="宋体" w:hAnsi="宋体" w:cs="Arial"/>
                <w:kern w:val="0"/>
                <w:sz w:val="18"/>
                <w:szCs w:val="18"/>
              </w:rPr>
              <w:t>凭据报销</w:t>
            </w:r>
            <w:r>
              <w:rPr>
                <w:rFonts w:ascii="Arial" w:hAnsi="Arial" w:cs="Arial"/>
                <w:kern w:val="0"/>
                <w:sz w:val="18"/>
                <w:szCs w:val="18"/>
              </w:rPr>
              <w:t xml:space="preserve"> </w:t>
            </w:r>
          </w:p>
        </w:tc>
      </w:tr>
      <w:tr>
        <w:tblPrEx>
          <w:tblLayout w:type="fixed"/>
          <w:tblCellMar>
            <w:top w:w="0" w:type="dxa"/>
            <w:left w:w="0" w:type="dxa"/>
            <w:bottom w:w="0" w:type="dxa"/>
            <w:right w:w="0" w:type="dxa"/>
          </w:tblCellMar>
        </w:tblPrEx>
        <w:trPr>
          <w:trHeight w:val="1072" w:hRule="atLeast"/>
          <w:jc w:val="center"/>
        </w:trPr>
        <w:tc>
          <w:tcPr>
            <w:tcW w:w="1949" w:type="dxa"/>
            <w:tcBorders>
              <w:top w:val="single" w:color="auto" w:sz="8" w:space="0"/>
              <w:left w:val="single" w:color="auto" w:sz="8" w:space="0"/>
              <w:bottom w:val="single" w:color="auto" w:sz="8" w:space="0"/>
              <w:right w:val="single" w:color="auto" w:sz="8" w:space="0"/>
            </w:tcBorders>
            <w:vAlign w:val="center"/>
          </w:tcPr>
          <w:p>
            <w:pPr>
              <w:jc w:val="left"/>
              <w:textAlignment w:val="baseline"/>
              <w:rPr>
                <w:rFonts w:ascii="Arial" w:hAnsi="Arial" w:cs="Arial"/>
                <w:kern w:val="0"/>
                <w:sz w:val="18"/>
                <w:szCs w:val="18"/>
              </w:rPr>
            </w:pPr>
            <w:r>
              <w:rPr>
                <w:rFonts w:hint="eastAsia" w:ascii="宋体" w:hAnsi="宋体" w:cs="Arial"/>
                <w:kern w:val="0"/>
                <w:sz w:val="18"/>
                <w:szCs w:val="18"/>
              </w:rPr>
              <w:t>其他人员</w:t>
            </w:r>
            <w:r>
              <w:rPr>
                <w:rFonts w:ascii="Arial" w:hAnsi="Arial" w:cs="Arial"/>
                <w:kern w:val="0"/>
                <w:sz w:val="18"/>
                <w:szCs w:val="18"/>
              </w:rPr>
              <w:t xml:space="preserve"> </w:t>
            </w:r>
          </w:p>
        </w:tc>
        <w:tc>
          <w:tcPr>
            <w:tcW w:w="1868" w:type="dxa"/>
            <w:tcBorders>
              <w:top w:val="single" w:color="auto" w:sz="8" w:space="0"/>
              <w:left w:val="single" w:color="auto" w:sz="8" w:space="0"/>
              <w:bottom w:val="single" w:color="auto" w:sz="8" w:space="0"/>
              <w:right w:val="single" w:color="auto" w:sz="8" w:space="0"/>
            </w:tcBorders>
            <w:vAlign w:val="center"/>
          </w:tcPr>
          <w:p>
            <w:pPr>
              <w:jc w:val="left"/>
              <w:textAlignment w:val="baseline"/>
              <w:rPr>
                <w:rFonts w:ascii="Arial" w:hAnsi="Arial" w:cs="Arial"/>
                <w:kern w:val="0"/>
                <w:sz w:val="18"/>
                <w:szCs w:val="18"/>
              </w:rPr>
            </w:pPr>
            <w:r>
              <w:rPr>
                <w:rFonts w:hint="eastAsia" w:ascii="宋体" w:hAnsi="宋体" w:cs="Arial"/>
                <w:kern w:val="0"/>
                <w:sz w:val="18"/>
                <w:szCs w:val="18"/>
              </w:rPr>
              <w:t>硬席（硬座、硬卧），高铁/动车二等座、全列软席列车二等软座</w:t>
            </w:r>
            <w:r>
              <w:rPr>
                <w:rFonts w:ascii="Arial" w:hAnsi="Arial" w:cs="Arial"/>
                <w:kern w:val="0"/>
                <w:sz w:val="18"/>
                <w:szCs w:val="18"/>
              </w:rPr>
              <w:t xml:space="preserve"> </w:t>
            </w:r>
          </w:p>
        </w:tc>
        <w:tc>
          <w:tcPr>
            <w:tcW w:w="1541" w:type="dxa"/>
            <w:tcBorders>
              <w:top w:val="single" w:color="auto" w:sz="8" w:space="0"/>
              <w:left w:val="single" w:color="auto" w:sz="8" w:space="0"/>
              <w:bottom w:val="single" w:color="auto" w:sz="8" w:space="0"/>
              <w:right w:val="single" w:color="auto" w:sz="8" w:space="0"/>
            </w:tcBorders>
            <w:vAlign w:val="center"/>
          </w:tcPr>
          <w:p>
            <w:pPr>
              <w:jc w:val="center"/>
              <w:textAlignment w:val="baseline"/>
              <w:rPr>
                <w:rFonts w:ascii="Arial" w:hAnsi="Arial" w:cs="Arial"/>
                <w:kern w:val="0"/>
                <w:sz w:val="18"/>
                <w:szCs w:val="18"/>
              </w:rPr>
            </w:pPr>
            <w:r>
              <w:rPr>
                <w:rFonts w:hint="eastAsia" w:ascii="宋体" w:hAnsi="宋体" w:cs="Arial"/>
                <w:kern w:val="0"/>
                <w:sz w:val="18"/>
                <w:szCs w:val="18"/>
              </w:rPr>
              <w:t>三等舱</w:t>
            </w:r>
            <w:r>
              <w:rPr>
                <w:rFonts w:ascii="Arial" w:hAnsi="Arial" w:cs="Arial"/>
                <w:kern w:val="0"/>
                <w:sz w:val="18"/>
                <w:szCs w:val="18"/>
              </w:rPr>
              <w:t xml:space="preserve"> </w:t>
            </w:r>
          </w:p>
        </w:tc>
        <w:tc>
          <w:tcPr>
            <w:tcW w:w="1590" w:type="dxa"/>
            <w:tcBorders>
              <w:top w:val="single" w:color="auto" w:sz="8" w:space="0"/>
              <w:left w:val="single" w:color="auto" w:sz="8" w:space="0"/>
              <w:bottom w:val="single" w:color="auto" w:sz="8" w:space="0"/>
              <w:right w:val="single" w:color="auto" w:sz="8" w:space="0"/>
            </w:tcBorders>
            <w:vAlign w:val="center"/>
          </w:tcPr>
          <w:p>
            <w:pPr>
              <w:ind w:firstLine="360"/>
              <w:jc w:val="left"/>
              <w:textAlignment w:val="baseline"/>
              <w:rPr>
                <w:rFonts w:ascii="Arial" w:hAnsi="Arial" w:cs="Arial"/>
                <w:kern w:val="0"/>
                <w:sz w:val="18"/>
                <w:szCs w:val="18"/>
              </w:rPr>
            </w:pPr>
            <w:r>
              <w:rPr>
                <w:rFonts w:hint="eastAsia" w:ascii="宋体" w:hAnsi="宋体" w:cs="Arial"/>
                <w:kern w:val="0"/>
                <w:sz w:val="18"/>
                <w:szCs w:val="18"/>
              </w:rPr>
              <w:t>经济舱</w:t>
            </w:r>
            <w:r>
              <w:rPr>
                <w:rFonts w:ascii="Arial" w:hAnsi="Arial" w:cs="Arial"/>
                <w:kern w:val="0"/>
                <w:sz w:val="18"/>
                <w:szCs w:val="18"/>
              </w:rPr>
              <w:t xml:space="preserve"> </w:t>
            </w:r>
          </w:p>
        </w:tc>
        <w:tc>
          <w:tcPr>
            <w:tcW w:w="1378" w:type="dxa"/>
            <w:tcBorders>
              <w:top w:val="single" w:color="auto" w:sz="8" w:space="0"/>
              <w:left w:val="single" w:color="auto" w:sz="8" w:space="0"/>
              <w:bottom w:val="single" w:color="auto" w:sz="8" w:space="0"/>
              <w:right w:val="single" w:color="auto" w:sz="8" w:space="0"/>
            </w:tcBorders>
            <w:vAlign w:val="center"/>
          </w:tcPr>
          <w:p>
            <w:pPr>
              <w:jc w:val="center"/>
              <w:textAlignment w:val="baseline"/>
              <w:rPr>
                <w:rFonts w:ascii="Arial" w:hAnsi="Arial" w:cs="Arial"/>
                <w:kern w:val="0"/>
                <w:sz w:val="18"/>
                <w:szCs w:val="18"/>
              </w:rPr>
            </w:pPr>
            <w:r>
              <w:rPr>
                <w:rFonts w:hint="eastAsia" w:ascii="宋体" w:hAnsi="宋体" w:cs="Arial"/>
                <w:kern w:val="0"/>
                <w:sz w:val="18"/>
                <w:szCs w:val="18"/>
              </w:rPr>
              <w:t>凭据报销</w:t>
            </w:r>
            <w:r>
              <w:rPr>
                <w:rFonts w:ascii="Arial" w:hAnsi="Arial" w:cs="Arial"/>
                <w:kern w:val="0"/>
                <w:sz w:val="18"/>
                <w:szCs w:val="18"/>
              </w:rPr>
              <w:t xml:space="preserve"> </w:t>
            </w:r>
          </w:p>
        </w:tc>
      </w:tr>
    </w:tbl>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厅级、教授及相当职务人员出差，因工作需要，随行一人可以乘坐同等级交通工具。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科级及以下人员原则上不乘坐飞机，因出差旅途较远或出差任务紧急需乘坐飞机要从严控制，需经院长批准方可乘坐飞机。</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乘坐公共汽车、飞机、轮船、火车等交通工具的，每人每次可以购买交通意外保险一份。</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color w:val="000000"/>
          <w:sz w:val="32"/>
          <w:szCs w:val="32"/>
        </w:rPr>
        <w:t xml:space="preserve"> 乘坐飞机的，机场往返市区接驳专线费用、民航发展基金、燃油附加费可以凭据报销。</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第十一条</w:t>
      </w:r>
      <w:r>
        <w:rPr>
          <w:rFonts w:hint="eastAsia" w:ascii="仿宋_GB2312" w:eastAsia="仿宋_GB2312"/>
          <w:color w:val="000000"/>
          <w:sz w:val="32"/>
          <w:szCs w:val="32"/>
        </w:rPr>
        <w:t xml:space="preserve"> 出差到电白区中心城区以外的茂名市中心城区(指市委、市政府驻地中心城区范围 )、茂南区、滨海新区、高新区及县级市的往返交通费实行包</w:t>
      </w:r>
      <w:r>
        <w:rPr>
          <w:rFonts w:hint="eastAsia" w:ascii="仿宋_GB2312" w:eastAsia="仿宋_GB2312"/>
          <w:color w:val="000000"/>
          <w:sz w:val="32"/>
          <w:szCs w:val="32"/>
          <w:lang w:eastAsia="zh-CN"/>
        </w:rPr>
        <w:t>干</w:t>
      </w:r>
      <w:r>
        <w:rPr>
          <w:rFonts w:hint="eastAsia" w:ascii="仿宋_GB2312" w:eastAsia="仿宋_GB2312"/>
          <w:color w:val="000000"/>
          <w:sz w:val="32"/>
          <w:szCs w:val="32"/>
        </w:rPr>
        <w:t>补助。</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补助标准如下：</w:t>
      </w:r>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734" w:type="dxa"/>
          </w:tcPr>
          <w:p>
            <w:pPr>
              <w:spacing w:line="628" w:lineRule="exact"/>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路线</w:t>
            </w:r>
          </w:p>
        </w:tc>
        <w:tc>
          <w:tcPr>
            <w:tcW w:w="3848" w:type="dxa"/>
          </w:tcPr>
          <w:p>
            <w:pPr>
              <w:spacing w:line="628" w:lineRule="exact"/>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补助金额（单程</w:t>
            </w:r>
            <w:r>
              <w:rPr>
                <w:rFonts w:hint="eastAsia" w:ascii="微软雅黑" w:hAnsi="微软雅黑" w:eastAsia="微软雅黑" w:cs="微软雅黑"/>
                <w:color w:val="000000"/>
                <w:kern w:val="0"/>
                <w:sz w:val="32"/>
                <w:szCs w:val="32"/>
                <w:lang w:val="en-US" w:eastAsia="zh-CN"/>
              </w:rPr>
              <w:t>·</w:t>
            </w:r>
            <w:r>
              <w:rPr>
                <w:rFonts w:hint="eastAsia" w:ascii="仿宋_GB2312" w:hAnsi="宋体" w:eastAsia="仿宋_GB2312" w:cs="Arial"/>
                <w:color w:val="000000"/>
                <w:kern w:val="0"/>
                <w:sz w:val="32"/>
                <w:szCs w:val="32"/>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4734" w:type="dxa"/>
          </w:tcPr>
          <w:p>
            <w:pPr>
              <w:spacing w:line="628" w:lineRule="exact"/>
              <w:jc w:val="left"/>
              <w:rPr>
                <w:rFonts w:ascii="仿宋_GB2312" w:hAnsi="宋体" w:eastAsia="仿宋_GB2312" w:cs="Arial"/>
                <w:color w:val="000000"/>
                <w:kern w:val="0"/>
                <w:sz w:val="28"/>
                <w:szCs w:val="28"/>
              </w:rPr>
            </w:pPr>
            <w:r>
              <w:rPr>
                <w:rFonts w:hint="eastAsia" w:ascii="仿宋_GB2312" w:eastAsia="仿宋_GB2312"/>
                <w:color w:val="000000"/>
                <w:sz w:val="28"/>
                <w:szCs w:val="28"/>
              </w:rPr>
              <w:t>电白区中心城区至茂名市中心城区</w:t>
            </w:r>
          </w:p>
        </w:tc>
        <w:tc>
          <w:tcPr>
            <w:tcW w:w="3848" w:type="dxa"/>
          </w:tcPr>
          <w:p>
            <w:pPr>
              <w:spacing w:line="628" w:lineRule="exact"/>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734" w:type="dxa"/>
          </w:tcPr>
          <w:p>
            <w:pPr>
              <w:spacing w:line="628" w:lineRule="exact"/>
              <w:jc w:val="left"/>
              <w:rPr>
                <w:rFonts w:ascii="仿宋_GB2312" w:hAnsi="宋体" w:eastAsia="仿宋_GB2312" w:cs="Arial"/>
                <w:color w:val="000000"/>
                <w:kern w:val="0"/>
                <w:sz w:val="28"/>
                <w:szCs w:val="28"/>
              </w:rPr>
            </w:pPr>
            <w:r>
              <w:rPr>
                <w:rFonts w:hint="eastAsia" w:ascii="仿宋_GB2312" w:eastAsia="仿宋_GB2312"/>
                <w:color w:val="000000"/>
                <w:sz w:val="28"/>
                <w:szCs w:val="28"/>
              </w:rPr>
              <w:t>电白区中心城区至茂南区</w:t>
            </w:r>
          </w:p>
        </w:tc>
        <w:tc>
          <w:tcPr>
            <w:tcW w:w="3848" w:type="dxa"/>
          </w:tcPr>
          <w:p>
            <w:pPr>
              <w:spacing w:line="628" w:lineRule="exact"/>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4734" w:type="dxa"/>
          </w:tcPr>
          <w:p>
            <w:pPr>
              <w:spacing w:line="628" w:lineRule="exact"/>
              <w:jc w:val="left"/>
              <w:rPr>
                <w:rFonts w:ascii="仿宋_GB2312" w:hAnsi="宋体" w:eastAsia="仿宋_GB2312" w:cs="Arial"/>
                <w:color w:val="000000"/>
                <w:kern w:val="0"/>
                <w:sz w:val="28"/>
                <w:szCs w:val="28"/>
              </w:rPr>
            </w:pPr>
            <w:r>
              <w:rPr>
                <w:rFonts w:hint="eastAsia" w:ascii="仿宋_GB2312" w:eastAsia="仿宋_GB2312"/>
                <w:color w:val="000000"/>
                <w:sz w:val="28"/>
                <w:szCs w:val="28"/>
              </w:rPr>
              <w:t>电白区中心城区至滨海新区</w:t>
            </w:r>
          </w:p>
        </w:tc>
        <w:tc>
          <w:tcPr>
            <w:tcW w:w="3848" w:type="dxa"/>
          </w:tcPr>
          <w:p>
            <w:pPr>
              <w:spacing w:line="628" w:lineRule="exact"/>
              <w:jc w:val="left"/>
              <w:rPr>
                <w:rFonts w:hint="eastAsia" w:ascii="仿宋_GB2312" w:hAnsi="宋体" w:eastAsia="仿宋_GB2312" w:cs="Arial"/>
                <w:color w:val="000000"/>
                <w:kern w:val="0"/>
                <w:sz w:val="32"/>
                <w:szCs w:val="32"/>
                <w:lang w:eastAsia="zh-CN"/>
              </w:rPr>
            </w:pPr>
            <w:r>
              <w:rPr>
                <w:rFonts w:hint="eastAsia" w:ascii="仿宋_GB2312" w:hAnsi="宋体" w:eastAsia="仿宋_GB2312" w:cs="Arial"/>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734" w:type="dxa"/>
          </w:tcPr>
          <w:p>
            <w:pPr>
              <w:spacing w:line="628" w:lineRule="exact"/>
              <w:jc w:val="left"/>
              <w:rPr>
                <w:rFonts w:hint="eastAsia" w:ascii="仿宋_GB2312" w:eastAsia="仿宋_GB2312"/>
                <w:color w:val="000000"/>
                <w:sz w:val="28"/>
                <w:szCs w:val="28"/>
              </w:rPr>
            </w:pPr>
            <w:r>
              <w:rPr>
                <w:rFonts w:hint="eastAsia" w:ascii="仿宋_GB2312" w:eastAsia="仿宋_GB2312"/>
                <w:color w:val="000000"/>
                <w:sz w:val="28"/>
                <w:szCs w:val="28"/>
              </w:rPr>
              <w:t>电白区中心城区至高新区</w:t>
            </w:r>
          </w:p>
        </w:tc>
        <w:tc>
          <w:tcPr>
            <w:tcW w:w="3848" w:type="dxa"/>
          </w:tcPr>
          <w:p>
            <w:pPr>
              <w:spacing w:line="628" w:lineRule="exact"/>
              <w:jc w:val="left"/>
              <w:rPr>
                <w:rFonts w:hint="eastAsia" w:ascii="仿宋_GB2312" w:hAnsi="宋体" w:eastAsia="仿宋_GB2312" w:cs="Arial"/>
                <w:color w:val="000000"/>
                <w:kern w:val="0"/>
                <w:sz w:val="32"/>
                <w:szCs w:val="32"/>
                <w:lang w:eastAsia="zh-CN"/>
              </w:rPr>
            </w:pPr>
            <w:r>
              <w:rPr>
                <w:rFonts w:hint="eastAsia" w:ascii="仿宋_GB2312" w:hAnsi="宋体" w:eastAsia="仿宋_GB2312" w:cs="Arial"/>
                <w:color w:val="000000"/>
                <w:kern w:val="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4734" w:type="dxa"/>
          </w:tcPr>
          <w:p>
            <w:pPr>
              <w:spacing w:line="628" w:lineRule="exact"/>
              <w:jc w:val="left"/>
              <w:rPr>
                <w:rFonts w:hint="eastAsia" w:ascii="仿宋_GB2312" w:eastAsia="仿宋_GB2312"/>
                <w:color w:val="000000"/>
                <w:sz w:val="28"/>
                <w:szCs w:val="28"/>
              </w:rPr>
            </w:pPr>
            <w:r>
              <w:rPr>
                <w:rFonts w:hint="eastAsia" w:ascii="仿宋_GB2312" w:eastAsia="仿宋_GB2312"/>
                <w:color w:val="000000"/>
                <w:sz w:val="28"/>
                <w:szCs w:val="28"/>
              </w:rPr>
              <w:t>电白区中心城区至高州市</w:t>
            </w:r>
          </w:p>
        </w:tc>
        <w:tc>
          <w:tcPr>
            <w:tcW w:w="3848" w:type="dxa"/>
          </w:tcPr>
          <w:p>
            <w:pPr>
              <w:spacing w:line="628" w:lineRule="exact"/>
              <w:jc w:val="left"/>
              <w:rPr>
                <w:rFonts w:hint="eastAsia" w:ascii="仿宋_GB2312" w:hAnsi="宋体" w:eastAsia="仿宋_GB2312" w:cs="Arial"/>
                <w:color w:val="000000"/>
                <w:kern w:val="0"/>
                <w:sz w:val="32"/>
                <w:szCs w:val="32"/>
                <w:lang w:eastAsia="zh-CN"/>
              </w:rPr>
            </w:pPr>
            <w:r>
              <w:rPr>
                <w:rFonts w:hint="eastAsia" w:ascii="仿宋_GB2312" w:hAnsi="宋体" w:eastAsia="仿宋_GB2312" w:cs="Arial"/>
                <w:color w:val="000000"/>
                <w:kern w:val="0"/>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734" w:type="dxa"/>
          </w:tcPr>
          <w:p>
            <w:pPr>
              <w:spacing w:line="628" w:lineRule="exact"/>
              <w:jc w:val="left"/>
              <w:rPr>
                <w:rFonts w:hint="eastAsia" w:ascii="仿宋_GB2312" w:eastAsia="仿宋_GB2312"/>
                <w:color w:val="000000"/>
                <w:sz w:val="28"/>
                <w:szCs w:val="28"/>
              </w:rPr>
            </w:pPr>
            <w:r>
              <w:rPr>
                <w:rFonts w:hint="eastAsia" w:ascii="仿宋_GB2312" w:eastAsia="仿宋_GB2312"/>
                <w:color w:val="000000"/>
                <w:sz w:val="28"/>
                <w:szCs w:val="28"/>
              </w:rPr>
              <w:t>电白区中心城区至化州市</w:t>
            </w:r>
          </w:p>
        </w:tc>
        <w:tc>
          <w:tcPr>
            <w:tcW w:w="3848" w:type="dxa"/>
          </w:tcPr>
          <w:p>
            <w:pPr>
              <w:spacing w:line="628" w:lineRule="exact"/>
              <w:jc w:val="left"/>
              <w:rPr>
                <w:rFonts w:hint="eastAsia" w:ascii="仿宋_GB2312" w:hAnsi="宋体" w:eastAsia="仿宋_GB2312" w:cs="Arial"/>
                <w:color w:val="000000"/>
                <w:kern w:val="0"/>
                <w:sz w:val="32"/>
                <w:szCs w:val="32"/>
                <w:lang w:eastAsia="zh-CN"/>
              </w:rPr>
            </w:pPr>
            <w:r>
              <w:rPr>
                <w:rFonts w:hint="eastAsia" w:ascii="仿宋_GB2312" w:hAnsi="宋体" w:eastAsia="仿宋_GB2312" w:cs="Arial"/>
                <w:color w:val="000000"/>
                <w:kern w:val="0"/>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4734" w:type="dxa"/>
          </w:tcPr>
          <w:p>
            <w:pPr>
              <w:spacing w:line="628" w:lineRule="exact"/>
              <w:jc w:val="left"/>
              <w:rPr>
                <w:rFonts w:hint="eastAsia" w:ascii="仿宋_GB2312" w:eastAsia="仿宋_GB2312"/>
                <w:color w:val="000000"/>
                <w:sz w:val="28"/>
                <w:szCs w:val="28"/>
              </w:rPr>
            </w:pPr>
            <w:r>
              <w:rPr>
                <w:rFonts w:hint="eastAsia" w:ascii="仿宋_GB2312" w:eastAsia="仿宋_GB2312"/>
                <w:color w:val="000000"/>
                <w:sz w:val="28"/>
                <w:szCs w:val="28"/>
              </w:rPr>
              <w:t>电自区中心城区至信和</w:t>
            </w:r>
            <w:r>
              <w:rPr>
                <w:rFonts w:hint="eastAsia" w:ascii="仿宋_GB2312" w:eastAsia="仿宋_GB2312"/>
                <w:color w:val="000000"/>
                <w:sz w:val="28"/>
                <w:szCs w:val="28"/>
                <w:lang w:eastAsia="zh-CN"/>
              </w:rPr>
              <w:t>信宜市</w:t>
            </w:r>
          </w:p>
        </w:tc>
        <w:tc>
          <w:tcPr>
            <w:tcW w:w="3848" w:type="dxa"/>
          </w:tcPr>
          <w:p>
            <w:pPr>
              <w:spacing w:line="628" w:lineRule="exact"/>
              <w:jc w:val="left"/>
              <w:rPr>
                <w:rFonts w:hint="eastAsia" w:ascii="仿宋_GB2312" w:hAnsi="宋体" w:eastAsia="仿宋_GB2312" w:cs="Arial"/>
                <w:color w:val="000000"/>
                <w:kern w:val="0"/>
                <w:sz w:val="32"/>
                <w:szCs w:val="32"/>
                <w:lang w:eastAsia="zh-CN"/>
              </w:rPr>
            </w:pPr>
            <w:r>
              <w:rPr>
                <w:rFonts w:hint="eastAsia" w:ascii="仿宋_GB2312" w:hAnsi="宋体" w:eastAsia="仿宋_GB2312" w:cs="Arial"/>
                <w:color w:val="000000"/>
                <w:kern w:val="0"/>
                <w:sz w:val="32"/>
                <w:szCs w:val="32"/>
                <w:lang w:val="en-US" w:eastAsia="zh-CN"/>
              </w:rPr>
              <w:t>60</w:t>
            </w:r>
          </w:p>
        </w:tc>
      </w:tr>
    </w:tbl>
    <w:p>
      <w:pPr>
        <w:spacing w:line="560" w:lineRule="exact"/>
        <w:ind w:firstLine="640" w:firstLineChars="200"/>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凡派公务车或通过购买社会服务方式解决公务交通出行的，不再享受城市间交通补助。</w:t>
      </w:r>
    </w:p>
    <w:p>
      <w:pPr>
        <w:spacing w:line="560" w:lineRule="exact"/>
        <w:ind w:firstLine="2720" w:firstLineChars="850"/>
        <w:rPr>
          <w:rFonts w:ascii="黑体" w:hAnsi="黑体" w:eastAsia="黑体"/>
          <w:color w:val="000000"/>
          <w:sz w:val="32"/>
          <w:szCs w:val="32"/>
        </w:rPr>
      </w:pPr>
      <w:r>
        <w:rPr>
          <w:rFonts w:hint="eastAsia" w:ascii="黑体" w:hAnsi="黑体" w:eastAsia="黑体"/>
          <w:color w:val="000000"/>
          <w:sz w:val="32"/>
          <w:szCs w:val="32"/>
        </w:rPr>
        <w:t>第三章  市内交通费</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第十二条</w:t>
      </w:r>
      <w:r>
        <w:rPr>
          <w:rFonts w:hint="eastAsia" w:ascii="仿宋_GB2312" w:eastAsia="仿宋_GB2312"/>
          <w:color w:val="000000"/>
          <w:sz w:val="32"/>
          <w:szCs w:val="32"/>
        </w:rPr>
        <w:t xml:space="preserve"> 市内交通费是指教职工因公出差到目的地期间发生的市内交通费用。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出差到茂名市以外地区的，按出差自然（日历）天数实行定额包干，每人每天80元。</w:t>
      </w:r>
    </w:p>
    <w:p>
      <w:pPr>
        <w:spacing w:line="560" w:lineRule="exact"/>
        <w:ind w:firstLine="420" w:firstLineChars="200"/>
      </w:pPr>
      <w:r>
        <w:rPr>
          <w:rFonts w:hint="eastAsia"/>
          <w:lang w:val="en-US" w:eastAsia="zh-CN"/>
        </w:rPr>
        <w:t xml:space="preserve">  </w:t>
      </w:r>
      <w:r>
        <w:rPr>
          <w:rFonts w:hint="eastAsia" w:ascii="仿宋_GB2312" w:eastAsia="仿宋_GB2312"/>
          <w:color w:val="000000"/>
          <w:sz w:val="32"/>
          <w:szCs w:val="32"/>
        </w:rPr>
        <w:t>出差到电白区中心城区以外的茂南区和县级市的市内交通费，每人每天包干补助 40 元。</w:t>
      </w:r>
    </w:p>
    <w:p>
      <w:pPr>
        <w:spacing w:line="56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第十三条</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学院</w:t>
      </w:r>
      <w:r>
        <w:rPr>
          <w:rFonts w:hint="eastAsia" w:ascii="仿宋_GB2312" w:eastAsia="仿宋_GB2312"/>
          <w:color w:val="000000"/>
          <w:sz w:val="32"/>
          <w:szCs w:val="32"/>
        </w:rPr>
        <w:t>派公车或通过购买社会服务方式解决公务交通出行且全程服务的，不再给予市内交通费补助；如只解决往返城市间交通的，按标准享受市内交通费补助。</w:t>
      </w:r>
    </w:p>
    <w:p>
      <w:pPr>
        <w:spacing w:line="560" w:lineRule="exact"/>
        <w:ind w:firstLine="2720" w:firstLineChars="850"/>
        <w:rPr>
          <w:rFonts w:ascii="黑体" w:hAnsi="黑体" w:eastAsia="黑体"/>
          <w:color w:val="000000"/>
          <w:sz w:val="32"/>
          <w:szCs w:val="32"/>
        </w:rPr>
      </w:pPr>
    </w:p>
    <w:p>
      <w:pPr>
        <w:spacing w:line="560" w:lineRule="exact"/>
        <w:ind w:firstLine="2720" w:firstLineChars="850"/>
        <w:rPr>
          <w:rFonts w:ascii="黑体" w:hAnsi="黑体" w:eastAsia="黑体"/>
          <w:color w:val="000000"/>
          <w:sz w:val="32"/>
          <w:szCs w:val="32"/>
        </w:rPr>
      </w:pPr>
      <w:r>
        <w:rPr>
          <w:rFonts w:hint="eastAsia" w:ascii="黑体" w:hAnsi="黑体" w:eastAsia="黑体"/>
          <w:color w:val="000000"/>
          <w:sz w:val="32"/>
          <w:szCs w:val="32"/>
        </w:rPr>
        <w:t>第四章  住宿费</w:t>
      </w:r>
    </w:p>
    <w:p>
      <w:pPr>
        <w:spacing w:line="560" w:lineRule="exact"/>
        <w:ind w:firstLine="640" w:firstLineChars="200"/>
        <w:rPr>
          <w:rFonts w:ascii="仿宋_GB2312" w:eastAsia="仿宋_GB2312"/>
          <w:b/>
          <w:sz w:val="32"/>
          <w:szCs w:val="32"/>
        </w:rPr>
      </w:pPr>
      <w:r>
        <w:rPr>
          <w:rFonts w:hint="eastAsia" w:ascii="黑体" w:hAnsi="黑体" w:eastAsia="黑体"/>
          <w:color w:val="000000"/>
          <w:sz w:val="32"/>
          <w:szCs w:val="32"/>
        </w:rPr>
        <w:t>第十四条</w:t>
      </w:r>
      <w:r>
        <w:rPr>
          <w:rFonts w:hint="eastAsia" w:ascii="仿宋_GB2312" w:eastAsia="仿宋_GB2312"/>
          <w:b/>
          <w:sz w:val="32"/>
          <w:szCs w:val="32"/>
        </w:rPr>
        <w:t xml:space="preserve"> </w:t>
      </w:r>
      <w:r>
        <w:rPr>
          <w:rFonts w:hint="eastAsia" w:ascii="仿宋_GB2312" w:eastAsia="仿宋_GB2312"/>
          <w:sz w:val="32"/>
          <w:szCs w:val="32"/>
        </w:rPr>
        <w:t>住宿费是指教职工因公出差期间入住宾馆（包括饭店、招待所，下同）所发生的房租费用。</w:t>
      </w:r>
    </w:p>
    <w:p>
      <w:pPr>
        <w:spacing w:line="560" w:lineRule="exact"/>
        <w:ind w:firstLine="640" w:firstLineChars="200"/>
        <w:rPr>
          <w:rFonts w:ascii="仿宋_GB2312" w:eastAsia="仿宋_GB2312"/>
          <w:b/>
          <w:sz w:val="32"/>
          <w:szCs w:val="32"/>
        </w:rPr>
      </w:pPr>
      <w:r>
        <w:rPr>
          <w:rFonts w:hint="eastAsia" w:ascii="黑体" w:hAnsi="黑体" w:eastAsia="黑体"/>
          <w:color w:val="000000"/>
          <w:sz w:val="32"/>
          <w:szCs w:val="32"/>
        </w:rPr>
        <w:t>第十五条</w:t>
      </w:r>
      <w:r>
        <w:rPr>
          <w:rFonts w:hint="eastAsia" w:ascii="仿宋_GB2312" w:eastAsia="仿宋_GB2312"/>
          <w:b/>
          <w:sz w:val="32"/>
          <w:szCs w:val="32"/>
        </w:rPr>
        <w:t xml:space="preserve"> </w:t>
      </w:r>
      <w:r>
        <w:rPr>
          <w:rFonts w:hint="eastAsia" w:ascii="仿宋_GB2312" w:eastAsia="仿宋_GB2312"/>
          <w:sz w:val="32"/>
          <w:szCs w:val="32"/>
        </w:rPr>
        <w:t>出差人员住宿应当在职务级别对应的住宿费限额标准以内，选择安全、经济、便捷的宾馆住宿。住宿房间类别及标准规定等级如下：</w:t>
      </w:r>
    </w:p>
    <w:tbl>
      <w:tblPr>
        <w:tblStyle w:val="5"/>
        <w:tblW w:w="8245" w:type="dxa"/>
        <w:jc w:val="center"/>
        <w:tblInd w:w="0" w:type="dxa"/>
        <w:tblLayout w:type="fixed"/>
        <w:tblCellMar>
          <w:top w:w="0" w:type="dxa"/>
          <w:left w:w="0" w:type="dxa"/>
          <w:bottom w:w="0" w:type="dxa"/>
          <w:right w:w="0" w:type="dxa"/>
        </w:tblCellMar>
      </w:tblPr>
      <w:tblGrid>
        <w:gridCol w:w="1810"/>
        <w:gridCol w:w="1620"/>
        <w:gridCol w:w="1620"/>
        <w:gridCol w:w="1575"/>
        <w:gridCol w:w="1620"/>
      </w:tblGrid>
      <w:tr>
        <w:tblPrEx>
          <w:tblLayout w:type="fixed"/>
          <w:tblCellMar>
            <w:top w:w="0" w:type="dxa"/>
            <w:left w:w="0" w:type="dxa"/>
            <w:bottom w:w="0" w:type="dxa"/>
            <w:right w:w="0" w:type="dxa"/>
          </w:tblCellMar>
        </w:tblPrEx>
        <w:trPr>
          <w:trHeight w:val="375" w:hRule="atLeast"/>
          <w:jc w:val="center"/>
        </w:trPr>
        <w:tc>
          <w:tcPr>
            <w:tcW w:w="1810" w:type="dxa"/>
            <w:vMerge w:val="restart"/>
            <w:tcBorders>
              <w:top w:val="single" w:color="auto" w:sz="8" w:space="0"/>
              <w:left w:val="single" w:color="auto" w:sz="8" w:space="0"/>
              <w:bottom w:val="single" w:color="auto" w:sz="8" w:space="0"/>
              <w:right w:val="single" w:color="auto" w:sz="8" w:space="0"/>
              <w:tl2br w:val="single" w:color="auto" w:sz="4" w:space="0"/>
            </w:tcBorders>
            <w:vAlign w:val="center"/>
          </w:tcPr>
          <w:p>
            <w:pPr>
              <w:spacing w:line="450" w:lineRule="atLeast"/>
              <w:ind w:left="141" w:leftChars="67" w:firstLine="970" w:firstLineChars="537"/>
              <w:jc w:val="left"/>
              <w:textAlignment w:val="baseline"/>
              <w:rPr>
                <w:rFonts w:ascii="Arial" w:hAnsi="Arial" w:cs="Arial"/>
                <w:color w:val="000000"/>
                <w:kern w:val="0"/>
                <w:sz w:val="18"/>
                <w:szCs w:val="18"/>
              </w:rPr>
            </w:pPr>
            <w:r>
              <w:rPr>
                <w:rFonts w:hint="eastAsia" w:ascii="宋体" w:hAnsi="宋体" w:cs="Arial"/>
                <w:b/>
                <w:bCs/>
                <w:color w:val="000000"/>
                <w:kern w:val="0"/>
                <w:sz w:val="18"/>
                <w:szCs w:val="18"/>
              </w:rPr>
              <w:t>级 别</w:t>
            </w:r>
          </w:p>
          <w:p>
            <w:pPr>
              <w:spacing w:line="450" w:lineRule="atLeast"/>
              <w:ind w:firstLine="480"/>
              <w:jc w:val="left"/>
              <w:textAlignment w:val="baseline"/>
              <w:rPr>
                <w:rFonts w:ascii="Arial" w:hAnsi="Arial" w:cs="Arial"/>
                <w:color w:val="000000"/>
                <w:kern w:val="0"/>
                <w:sz w:val="18"/>
                <w:szCs w:val="18"/>
              </w:rPr>
            </w:pPr>
          </w:p>
        </w:tc>
        <w:tc>
          <w:tcPr>
            <w:tcW w:w="1620" w:type="dxa"/>
            <w:vMerge w:val="restart"/>
            <w:tcBorders>
              <w:top w:val="single" w:color="auto" w:sz="8" w:space="0"/>
              <w:left w:val="single" w:color="auto" w:sz="8" w:space="0"/>
              <w:bottom w:val="single" w:color="auto" w:sz="8" w:space="0"/>
              <w:right w:val="single" w:color="auto" w:sz="8" w:space="0"/>
            </w:tcBorders>
            <w:vAlign w:val="center"/>
          </w:tcPr>
          <w:p>
            <w:pPr>
              <w:spacing w:line="450" w:lineRule="atLeast"/>
              <w:textAlignment w:val="baseline"/>
              <w:rPr>
                <w:rFonts w:ascii="宋体" w:hAnsi="宋体" w:cs="Arial"/>
                <w:b/>
                <w:bCs/>
                <w:color w:val="000000"/>
                <w:kern w:val="0"/>
                <w:sz w:val="18"/>
                <w:szCs w:val="18"/>
              </w:rPr>
            </w:pPr>
            <w:r>
              <w:rPr>
                <w:rFonts w:hint="eastAsia" w:ascii="宋体" w:hAnsi="宋体" w:cs="Arial"/>
                <w:b/>
                <w:bCs/>
                <w:color w:val="000000"/>
                <w:kern w:val="0"/>
                <w:sz w:val="18"/>
                <w:szCs w:val="18"/>
              </w:rPr>
              <w:t>厅级、教授</w:t>
            </w:r>
          </w:p>
          <w:p>
            <w:pPr>
              <w:spacing w:line="450" w:lineRule="atLeast"/>
              <w:textAlignment w:val="baseline"/>
              <w:rPr>
                <w:rFonts w:ascii="Arial" w:hAnsi="Arial" w:cs="Arial"/>
                <w:color w:val="000000"/>
                <w:kern w:val="0"/>
                <w:sz w:val="18"/>
                <w:szCs w:val="18"/>
              </w:rPr>
            </w:pPr>
            <w:r>
              <w:rPr>
                <w:rFonts w:hint="eastAsia" w:ascii="宋体" w:hAnsi="宋体" w:cs="Arial"/>
                <w:b/>
                <w:bCs/>
                <w:color w:val="000000"/>
                <w:kern w:val="0"/>
                <w:sz w:val="18"/>
                <w:szCs w:val="18"/>
              </w:rPr>
              <w:t>及相当职务人员</w:t>
            </w:r>
          </w:p>
        </w:tc>
        <w:tc>
          <w:tcPr>
            <w:tcW w:w="1620" w:type="dxa"/>
            <w:vMerge w:val="restart"/>
            <w:tcBorders>
              <w:top w:val="single" w:color="auto" w:sz="8" w:space="0"/>
              <w:left w:val="single" w:color="auto" w:sz="8" w:space="0"/>
              <w:bottom w:val="single" w:color="auto" w:sz="8" w:space="0"/>
              <w:right w:val="single" w:color="auto" w:sz="8" w:space="0"/>
            </w:tcBorders>
            <w:vAlign w:val="center"/>
          </w:tcPr>
          <w:p>
            <w:pPr>
              <w:spacing w:line="450" w:lineRule="atLeast"/>
              <w:textAlignment w:val="baseline"/>
              <w:rPr>
                <w:rFonts w:ascii="Arial" w:hAnsi="Arial" w:cs="Arial"/>
                <w:color w:val="000000"/>
                <w:kern w:val="0"/>
                <w:sz w:val="18"/>
                <w:szCs w:val="18"/>
              </w:rPr>
            </w:pPr>
            <w:r>
              <w:rPr>
                <w:rFonts w:hint="eastAsia" w:ascii="宋体" w:hAnsi="宋体" w:cs="Arial"/>
                <w:b/>
                <w:bCs/>
                <w:color w:val="000000"/>
                <w:kern w:val="0"/>
                <w:sz w:val="18"/>
                <w:szCs w:val="18"/>
              </w:rPr>
              <w:t>处级、副高专业技术职称及相当职务人员</w:t>
            </w:r>
            <w:r>
              <w:rPr>
                <w:rFonts w:ascii="Arial" w:hAnsi="Arial" w:cs="Arial"/>
                <w:color w:val="000000"/>
                <w:kern w:val="0"/>
                <w:sz w:val="18"/>
                <w:szCs w:val="18"/>
              </w:rPr>
              <w:t xml:space="preserve"> </w:t>
            </w:r>
          </w:p>
        </w:tc>
        <w:tc>
          <w:tcPr>
            <w:tcW w:w="3195" w:type="dxa"/>
            <w:gridSpan w:val="2"/>
            <w:tcBorders>
              <w:top w:val="single" w:color="auto" w:sz="8" w:space="0"/>
              <w:left w:val="single" w:color="auto" w:sz="8" w:space="0"/>
              <w:bottom w:val="single" w:color="auto" w:sz="8" w:space="0"/>
              <w:right w:val="single" w:color="auto" w:sz="8" w:space="0"/>
            </w:tcBorders>
            <w:vAlign w:val="center"/>
          </w:tcPr>
          <w:p>
            <w:pPr>
              <w:spacing w:line="450" w:lineRule="atLeast"/>
              <w:ind w:firstLine="480"/>
              <w:jc w:val="center"/>
              <w:textAlignment w:val="baseline"/>
              <w:rPr>
                <w:rFonts w:ascii="Arial" w:hAnsi="Arial" w:cs="Arial"/>
                <w:color w:val="000000"/>
                <w:kern w:val="0"/>
                <w:sz w:val="18"/>
                <w:szCs w:val="18"/>
              </w:rPr>
            </w:pPr>
            <w:r>
              <w:rPr>
                <w:rFonts w:hint="eastAsia" w:ascii="宋体" w:hAnsi="宋体" w:cs="Arial"/>
                <w:b/>
                <w:bCs/>
                <w:color w:val="000000"/>
                <w:kern w:val="0"/>
                <w:sz w:val="18"/>
                <w:szCs w:val="18"/>
              </w:rPr>
              <w:t>其他人员</w:t>
            </w:r>
          </w:p>
        </w:tc>
      </w:tr>
      <w:tr>
        <w:tblPrEx>
          <w:tblLayout w:type="fixed"/>
          <w:tblCellMar>
            <w:top w:w="0" w:type="dxa"/>
            <w:left w:w="0" w:type="dxa"/>
            <w:bottom w:w="0" w:type="dxa"/>
            <w:right w:w="0" w:type="dxa"/>
          </w:tblCellMar>
        </w:tblPrEx>
        <w:trPr>
          <w:trHeight w:val="555" w:hRule="atLeast"/>
          <w:jc w:val="center"/>
        </w:trPr>
        <w:tc>
          <w:tcPr>
            <w:tcW w:w="181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Arial" w:hAnsi="Arial" w:cs="Arial"/>
                <w:color w:val="000000"/>
                <w:kern w:val="0"/>
                <w:sz w:val="18"/>
                <w:szCs w:val="18"/>
              </w:rPr>
            </w:pPr>
          </w:p>
        </w:tc>
        <w:tc>
          <w:tcPr>
            <w:tcW w:w="162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Arial" w:hAnsi="Arial" w:cs="Arial"/>
                <w:color w:val="000000"/>
                <w:kern w:val="0"/>
                <w:sz w:val="18"/>
                <w:szCs w:val="18"/>
              </w:rPr>
            </w:pPr>
          </w:p>
        </w:tc>
        <w:tc>
          <w:tcPr>
            <w:tcW w:w="1620" w:type="dxa"/>
            <w:vMerge w:val="continue"/>
            <w:tcBorders>
              <w:top w:val="single" w:color="auto" w:sz="8" w:space="0"/>
              <w:left w:val="single" w:color="auto" w:sz="8" w:space="0"/>
              <w:bottom w:val="single" w:color="auto" w:sz="8" w:space="0"/>
              <w:right w:val="single" w:color="auto" w:sz="8" w:space="0"/>
            </w:tcBorders>
            <w:vAlign w:val="center"/>
          </w:tcPr>
          <w:p>
            <w:pPr>
              <w:jc w:val="left"/>
              <w:rPr>
                <w:rFonts w:ascii="Arial" w:hAnsi="Arial" w:cs="Arial"/>
                <w:color w:val="000000"/>
                <w:kern w:val="0"/>
                <w:sz w:val="18"/>
                <w:szCs w:val="18"/>
              </w:rPr>
            </w:pPr>
          </w:p>
        </w:tc>
        <w:tc>
          <w:tcPr>
            <w:tcW w:w="1575"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266" w:firstLineChars="147"/>
              <w:textAlignment w:val="baseline"/>
              <w:rPr>
                <w:rFonts w:ascii="宋体" w:hAnsi="宋体" w:cs="Arial"/>
                <w:b/>
                <w:bCs/>
                <w:color w:val="000000"/>
                <w:kern w:val="0"/>
                <w:sz w:val="18"/>
                <w:szCs w:val="18"/>
              </w:rPr>
            </w:pPr>
            <w:r>
              <w:rPr>
                <w:rFonts w:hint="eastAsia" w:ascii="宋体" w:hAnsi="宋体" w:cs="Arial"/>
                <w:b/>
                <w:bCs/>
                <w:color w:val="000000"/>
                <w:kern w:val="0"/>
                <w:sz w:val="18"/>
                <w:szCs w:val="18"/>
              </w:rPr>
              <w:t>（同性双人）</w:t>
            </w:r>
            <w:r>
              <w:rPr>
                <w:rFonts w:ascii="Arial" w:hAnsi="Arial" w:cs="Arial"/>
                <w:color w:val="000000"/>
                <w:kern w:val="0"/>
                <w:sz w:val="18"/>
                <w:szCs w:val="18"/>
              </w:rPr>
              <w:t xml:space="preserve"> </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textAlignment w:val="baseline"/>
              <w:rPr>
                <w:rFonts w:ascii="宋体" w:hAnsi="宋体" w:cs="Arial"/>
                <w:b/>
                <w:bCs/>
                <w:color w:val="000000"/>
                <w:kern w:val="0"/>
                <w:sz w:val="18"/>
                <w:szCs w:val="18"/>
              </w:rPr>
            </w:pPr>
            <w:r>
              <w:rPr>
                <w:rFonts w:hint="eastAsia" w:ascii="宋体" w:hAnsi="宋体" w:cs="Arial"/>
                <w:b/>
                <w:bCs/>
                <w:color w:val="000000"/>
                <w:kern w:val="0"/>
                <w:sz w:val="18"/>
                <w:szCs w:val="18"/>
              </w:rPr>
              <w:t>单人或男、女出差人员为单数</w:t>
            </w:r>
          </w:p>
        </w:tc>
      </w:tr>
      <w:tr>
        <w:tblPrEx>
          <w:tblLayout w:type="fixed"/>
          <w:tblCellMar>
            <w:top w:w="0" w:type="dxa"/>
            <w:left w:w="0" w:type="dxa"/>
            <w:bottom w:w="0" w:type="dxa"/>
            <w:right w:w="0" w:type="dxa"/>
          </w:tblCellMar>
        </w:tblPrEx>
        <w:trPr>
          <w:trHeight w:val="748" w:hRule="atLeast"/>
          <w:jc w:val="center"/>
        </w:trPr>
        <w:tc>
          <w:tcPr>
            <w:tcW w:w="181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480"/>
              <w:jc w:val="left"/>
              <w:textAlignment w:val="baseline"/>
              <w:rPr>
                <w:rFonts w:ascii="Arial" w:hAnsi="Arial" w:cs="Arial"/>
                <w:color w:val="000000"/>
                <w:kern w:val="0"/>
                <w:sz w:val="18"/>
                <w:szCs w:val="18"/>
              </w:rPr>
            </w:pPr>
            <w:r>
              <w:rPr>
                <w:rFonts w:hint="eastAsia" w:ascii="Arial" w:hAnsi="Arial" w:cs="Arial"/>
                <w:color w:val="000000"/>
                <w:kern w:val="0"/>
                <w:sz w:val="18"/>
                <w:szCs w:val="18"/>
              </w:rPr>
              <w:t>房间类别</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480"/>
              <w:jc w:val="left"/>
              <w:textAlignment w:val="baseline"/>
              <w:rPr>
                <w:rFonts w:ascii="Arial" w:hAnsi="Arial" w:cs="Arial"/>
                <w:color w:val="000000"/>
                <w:kern w:val="0"/>
                <w:sz w:val="18"/>
                <w:szCs w:val="18"/>
              </w:rPr>
            </w:pPr>
            <w:r>
              <w:rPr>
                <w:rFonts w:hint="eastAsia" w:ascii="宋体" w:hAnsi="宋体" w:cs="Arial"/>
                <w:color w:val="000000"/>
                <w:kern w:val="0"/>
                <w:sz w:val="18"/>
                <w:szCs w:val="18"/>
              </w:rPr>
              <w:t>普通套间</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180" w:firstLineChars="100"/>
              <w:textAlignment w:val="baseline"/>
              <w:rPr>
                <w:rFonts w:ascii="Arial" w:hAnsi="Arial" w:cs="Arial"/>
                <w:color w:val="000000"/>
                <w:kern w:val="0"/>
                <w:sz w:val="18"/>
                <w:szCs w:val="18"/>
              </w:rPr>
            </w:pPr>
            <w:r>
              <w:rPr>
                <w:rFonts w:hint="eastAsia" w:ascii="宋体" w:hAnsi="宋体" w:cs="Arial"/>
                <w:color w:val="000000"/>
                <w:kern w:val="0"/>
                <w:sz w:val="18"/>
                <w:szCs w:val="18"/>
              </w:rPr>
              <w:t>单间（标准间）</w:t>
            </w:r>
            <w:r>
              <w:rPr>
                <w:rFonts w:ascii="Arial" w:hAnsi="Arial" w:cs="Arial"/>
                <w:color w:val="000000"/>
                <w:kern w:val="0"/>
                <w:sz w:val="18"/>
                <w:szCs w:val="18"/>
              </w:rPr>
              <w:t xml:space="preserve"> </w:t>
            </w:r>
          </w:p>
        </w:tc>
        <w:tc>
          <w:tcPr>
            <w:tcW w:w="1575"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360" w:firstLineChars="200"/>
              <w:textAlignment w:val="baseline"/>
              <w:rPr>
                <w:rFonts w:ascii="Arial" w:hAnsi="Arial" w:cs="Arial"/>
                <w:color w:val="000000"/>
                <w:kern w:val="0"/>
                <w:sz w:val="18"/>
                <w:szCs w:val="18"/>
              </w:rPr>
            </w:pPr>
            <w:r>
              <w:rPr>
                <w:rFonts w:hint="eastAsia" w:ascii="宋体" w:hAnsi="宋体" w:cs="Arial"/>
                <w:color w:val="000000"/>
                <w:kern w:val="0"/>
                <w:sz w:val="18"/>
                <w:szCs w:val="18"/>
              </w:rPr>
              <w:t>标准间</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90" w:firstLineChars="50"/>
              <w:textAlignment w:val="baseline"/>
              <w:rPr>
                <w:rFonts w:ascii="Arial" w:hAnsi="Arial" w:cs="Arial"/>
                <w:color w:val="000000"/>
                <w:kern w:val="0"/>
                <w:sz w:val="18"/>
                <w:szCs w:val="18"/>
              </w:rPr>
            </w:pPr>
            <w:r>
              <w:rPr>
                <w:rFonts w:hint="eastAsia" w:ascii="宋体" w:hAnsi="宋体" w:cs="Arial"/>
                <w:color w:val="000000"/>
                <w:kern w:val="0"/>
                <w:sz w:val="18"/>
                <w:szCs w:val="18"/>
              </w:rPr>
              <w:t>单间（标准间）</w:t>
            </w:r>
          </w:p>
        </w:tc>
      </w:tr>
      <w:tr>
        <w:tblPrEx>
          <w:tblLayout w:type="fixed"/>
          <w:tblCellMar>
            <w:top w:w="0" w:type="dxa"/>
            <w:left w:w="0" w:type="dxa"/>
            <w:bottom w:w="0" w:type="dxa"/>
            <w:right w:w="0" w:type="dxa"/>
          </w:tblCellMar>
        </w:tblPrEx>
        <w:trPr>
          <w:trHeight w:val="772" w:hRule="atLeast"/>
          <w:jc w:val="center"/>
        </w:trPr>
        <w:tc>
          <w:tcPr>
            <w:tcW w:w="1810" w:type="dxa"/>
            <w:tcBorders>
              <w:top w:val="single" w:color="auto" w:sz="8" w:space="0"/>
              <w:left w:val="single" w:color="auto" w:sz="8" w:space="0"/>
              <w:bottom w:val="single" w:color="auto" w:sz="8" w:space="0"/>
              <w:right w:val="single" w:color="auto" w:sz="8" w:space="0"/>
            </w:tcBorders>
            <w:vAlign w:val="center"/>
          </w:tcPr>
          <w:p>
            <w:pPr>
              <w:spacing w:line="450" w:lineRule="atLeast"/>
              <w:jc w:val="left"/>
              <w:textAlignment w:val="baseline"/>
              <w:rPr>
                <w:rFonts w:ascii="Arial" w:hAnsi="Arial" w:cs="Arial"/>
                <w:color w:val="000000"/>
                <w:kern w:val="0"/>
                <w:sz w:val="18"/>
                <w:szCs w:val="18"/>
              </w:rPr>
            </w:pPr>
            <w:r>
              <w:rPr>
                <w:rFonts w:hint="eastAsia" w:ascii="宋体" w:hAnsi="宋体" w:cs="Arial"/>
                <w:color w:val="000000"/>
                <w:kern w:val="0"/>
                <w:sz w:val="18"/>
                <w:szCs w:val="18"/>
              </w:rPr>
              <w:t>出差至茂名以外地区</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90" w:firstLineChars="50"/>
              <w:jc w:val="left"/>
              <w:textAlignment w:val="baseline"/>
              <w:rPr>
                <w:rFonts w:ascii="Arial" w:hAnsi="Arial" w:cs="Arial"/>
                <w:color w:val="000000"/>
                <w:kern w:val="0"/>
                <w:sz w:val="18"/>
                <w:szCs w:val="18"/>
              </w:rPr>
            </w:pPr>
            <w:r>
              <w:rPr>
                <w:rFonts w:hint="eastAsia" w:ascii="宋体" w:hAnsi="宋体" w:cs="Arial"/>
                <w:color w:val="000000"/>
                <w:kern w:val="0"/>
                <w:sz w:val="18"/>
                <w:szCs w:val="18"/>
              </w:rPr>
              <w:t>550元∕每人每天</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90" w:firstLineChars="50"/>
              <w:textAlignment w:val="baseline"/>
              <w:rPr>
                <w:rFonts w:ascii="Arial" w:hAnsi="Arial" w:cs="Arial"/>
                <w:color w:val="000000"/>
                <w:kern w:val="0"/>
                <w:sz w:val="18"/>
                <w:szCs w:val="18"/>
              </w:rPr>
            </w:pPr>
            <w:r>
              <w:rPr>
                <w:rFonts w:hint="eastAsia" w:ascii="宋体" w:hAnsi="宋体" w:cs="Arial"/>
                <w:color w:val="000000"/>
                <w:kern w:val="0"/>
                <w:sz w:val="18"/>
                <w:szCs w:val="18"/>
              </w:rPr>
              <w:t>450元∕每人每天</w:t>
            </w:r>
          </w:p>
        </w:tc>
        <w:tc>
          <w:tcPr>
            <w:tcW w:w="1575"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90" w:firstLineChars="50"/>
              <w:jc w:val="left"/>
              <w:textAlignment w:val="baseline"/>
              <w:rPr>
                <w:rFonts w:ascii="Arial" w:hAnsi="Arial" w:cs="Arial"/>
                <w:color w:val="000000"/>
                <w:kern w:val="0"/>
                <w:sz w:val="18"/>
                <w:szCs w:val="18"/>
              </w:rPr>
            </w:pPr>
            <w:r>
              <w:rPr>
                <w:rFonts w:hint="eastAsia" w:ascii="宋体" w:hAnsi="宋体" w:cs="Arial"/>
                <w:color w:val="000000"/>
                <w:kern w:val="0"/>
                <w:sz w:val="18"/>
                <w:szCs w:val="18"/>
              </w:rPr>
              <w:t>450元∕每间每天</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90" w:firstLineChars="50"/>
              <w:jc w:val="left"/>
              <w:textAlignment w:val="baseline"/>
              <w:rPr>
                <w:rFonts w:ascii="Arial" w:hAnsi="Arial" w:cs="Arial"/>
                <w:color w:val="000000"/>
                <w:kern w:val="0"/>
                <w:sz w:val="18"/>
                <w:szCs w:val="18"/>
              </w:rPr>
            </w:pPr>
            <w:r>
              <w:rPr>
                <w:rFonts w:hint="eastAsia" w:ascii="宋体" w:hAnsi="宋体" w:cs="Arial"/>
                <w:color w:val="000000"/>
                <w:kern w:val="0"/>
                <w:sz w:val="18"/>
                <w:szCs w:val="18"/>
              </w:rPr>
              <w:t>450元∕每人每天</w:t>
            </w:r>
          </w:p>
        </w:tc>
      </w:tr>
      <w:tr>
        <w:tblPrEx>
          <w:tblLayout w:type="fixed"/>
          <w:tblCellMar>
            <w:top w:w="0" w:type="dxa"/>
            <w:left w:w="0" w:type="dxa"/>
            <w:bottom w:w="0" w:type="dxa"/>
            <w:right w:w="0" w:type="dxa"/>
          </w:tblCellMar>
        </w:tblPrEx>
        <w:trPr>
          <w:trHeight w:val="904" w:hRule="atLeast"/>
          <w:jc w:val="center"/>
        </w:trPr>
        <w:tc>
          <w:tcPr>
            <w:tcW w:w="1810" w:type="dxa"/>
            <w:tcBorders>
              <w:top w:val="single" w:color="auto" w:sz="8" w:space="0"/>
              <w:left w:val="single" w:color="auto" w:sz="8" w:space="0"/>
              <w:bottom w:val="single" w:color="auto" w:sz="8" w:space="0"/>
              <w:right w:val="single" w:color="auto" w:sz="8" w:space="0"/>
            </w:tcBorders>
            <w:vAlign w:val="center"/>
          </w:tcPr>
          <w:p>
            <w:pPr>
              <w:spacing w:line="450" w:lineRule="atLeast"/>
              <w:jc w:val="left"/>
              <w:textAlignment w:val="baseline"/>
              <w:rPr>
                <w:rFonts w:ascii="Arial" w:hAnsi="Arial" w:cs="Arial"/>
                <w:color w:val="000000"/>
                <w:kern w:val="0"/>
                <w:sz w:val="18"/>
                <w:szCs w:val="18"/>
              </w:rPr>
            </w:pPr>
            <w:r>
              <w:rPr>
                <w:rFonts w:hint="eastAsia" w:ascii="宋体" w:hAnsi="宋体" w:cs="Arial"/>
                <w:color w:val="000000"/>
                <w:kern w:val="0"/>
                <w:sz w:val="18"/>
                <w:szCs w:val="18"/>
              </w:rPr>
              <w:t>出差到</w:t>
            </w:r>
            <w:r>
              <w:rPr>
                <w:rFonts w:hint="eastAsia" w:ascii="宋体" w:hAnsi="宋体" w:cs="Arial"/>
                <w:color w:val="000000"/>
                <w:kern w:val="0"/>
                <w:sz w:val="18"/>
                <w:szCs w:val="18"/>
                <w:lang w:eastAsia="zh-CN"/>
              </w:rPr>
              <w:t>茂名市管辖区内（不含电白区）</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90" w:firstLineChars="50"/>
              <w:jc w:val="left"/>
              <w:textAlignment w:val="baseline"/>
              <w:rPr>
                <w:rFonts w:ascii="Arial" w:hAnsi="Arial" w:cs="Arial"/>
                <w:color w:val="000000"/>
                <w:kern w:val="0"/>
                <w:sz w:val="18"/>
                <w:szCs w:val="18"/>
              </w:rPr>
            </w:pPr>
            <w:r>
              <w:rPr>
                <w:rFonts w:hint="eastAsia" w:ascii="宋体" w:hAnsi="宋体" w:cs="Arial"/>
                <w:color w:val="000000"/>
                <w:kern w:val="0"/>
                <w:sz w:val="18"/>
                <w:szCs w:val="18"/>
              </w:rPr>
              <w:t>400元∕每人每天</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90" w:firstLineChars="50"/>
              <w:textAlignment w:val="baseline"/>
              <w:rPr>
                <w:rFonts w:ascii="Arial" w:hAnsi="Arial" w:cs="Arial"/>
                <w:color w:val="000000"/>
                <w:kern w:val="0"/>
                <w:sz w:val="18"/>
                <w:szCs w:val="18"/>
              </w:rPr>
            </w:pPr>
            <w:r>
              <w:rPr>
                <w:rFonts w:hint="eastAsia" w:ascii="宋体" w:hAnsi="宋体" w:cs="Arial"/>
                <w:color w:val="000000"/>
                <w:kern w:val="0"/>
                <w:sz w:val="18"/>
                <w:szCs w:val="18"/>
              </w:rPr>
              <w:t>300元∕每人每天</w:t>
            </w:r>
          </w:p>
        </w:tc>
        <w:tc>
          <w:tcPr>
            <w:tcW w:w="1575"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90" w:firstLineChars="50"/>
              <w:jc w:val="left"/>
              <w:textAlignment w:val="baseline"/>
              <w:rPr>
                <w:rFonts w:ascii="Arial" w:hAnsi="Arial" w:cs="Arial"/>
                <w:color w:val="000000"/>
                <w:kern w:val="0"/>
                <w:sz w:val="18"/>
                <w:szCs w:val="18"/>
              </w:rPr>
            </w:pPr>
            <w:r>
              <w:rPr>
                <w:rFonts w:hint="eastAsia" w:ascii="宋体" w:hAnsi="宋体" w:cs="Arial"/>
                <w:color w:val="000000"/>
                <w:kern w:val="0"/>
                <w:sz w:val="18"/>
                <w:szCs w:val="18"/>
              </w:rPr>
              <w:t>300元∕每间每天</w:t>
            </w:r>
          </w:p>
        </w:tc>
        <w:tc>
          <w:tcPr>
            <w:tcW w:w="1620" w:type="dxa"/>
            <w:tcBorders>
              <w:top w:val="single" w:color="auto" w:sz="8" w:space="0"/>
              <w:left w:val="single" w:color="auto" w:sz="8" w:space="0"/>
              <w:bottom w:val="single" w:color="auto" w:sz="8" w:space="0"/>
              <w:right w:val="single" w:color="auto" w:sz="8" w:space="0"/>
            </w:tcBorders>
            <w:vAlign w:val="center"/>
          </w:tcPr>
          <w:p>
            <w:pPr>
              <w:spacing w:line="450" w:lineRule="atLeast"/>
              <w:ind w:firstLine="90" w:firstLineChars="50"/>
              <w:jc w:val="left"/>
              <w:textAlignment w:val="baseline"/>
              <w:rPr>
                <w:rFonts w:ascii="Arial" w:hAnsi="Arial" w:cs="Arial"/>
                <w:color w:val="000000"/>
                <w:kern w:val="0"/>
                <w:sz w:val="18"/>
                <w:szCs w:val="18"/>
              </w:rPr>
            </w:pPr>
            <w:r>
              <w:rPr>
                <w:rFonts w:hint="eastAsia" w:ascii="宋体" w:hAnsi="宋体" w:cs="Arial"/>
                <w:color w:val="000000"/>
                <w:kern w:val="0"/>
                <w:sz w:val="18"/>
                <w:szCs w:val="18"/>
              </w:rPr>
              <w:t>300元∕每人每天</w:t>
            </w:r>
          </w:p>
        </w:tc>
      </w:tr>
    </w:tbl>
    <w:p>
      <w:pPr>
        <w:spacing w:line="560" w:lineRule="exact"/>
        <w:ind w:firstLine="645"/>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出差至茂名</w:t>
      </w:r>
      <w:r>
        <w:rPr>
          <w:rFonts w:hint="eastAsia" w:ascii="仿宋_GB2312" w:hAnsi="宋体" w:eastAsia="仿宋_GB2312" w:cs="Arial"/>
          <w:color w:val="000000"/>
          <w:kern w:val="0"/>
          <w:sz w:val="32"/>
          <w:szCs w:val="32"/>
          <w:lang w:eastAsia="zh-CN"/>
        </w:rPr>
        <w:t>市</w:t>
      </w:r>
      <w:r>
        <w:rPr>
          <w:rFonts w:hint="eastAsia" w:ascii="仿宋_GB2312" w:hAnsi="宋体" w:eastAsia="仿宋_GB2312" w:cs="Arial"/>
          <w:color w:val="000000"/>
          <w:kern w:val="0"/>
          <w:sz w:val="32"/>
          <w:szCs w:val="32"/>
        </w:rPr>
        <w:t>以外地区如遇特殊情况无法提供住宿发票的，按照住宿费限额标准的50%发放补助，厅级、教授及相当职务人员每人每天275元，其他人员每人每天225元。</w:t>
      </w:r>
    </w:p>
    <w:p>
      <w:pPr>
        <w:spacing w:line="560" w:lineRule="exact"/>
        <w:ind w:firstLine="645"/>
        <w:jc w:val="left"/>
        <w:rPr>
          <w:rFonts w:ascii="仿宋_GB2312" w:hAnsi="宋体" w:eastAsia="仿宋_GB2312" w:cs="Arial"/>
          <w:kern w:val="0"/>
          <w:sz w:val="32"/>
          <w:szCs w:val="32"/>
        </w:rPr>
      </w:pPr>
      <w:r>
        <w:rPr>
          <w:rFonts w:hint="eastAsia" w:ascii="仿宋_GB2312" w:hAnsi="宋体" w:eastAsia="仿宋_GB2312" w:cs="Arial"/>
          <w:kern w:val="0"/>
          <w:sz w:val="32"/>
          <w:szCs w:val="32"/>
        </w:rPr>
        <w:t>出差到广州市如遇春、秋季中国进出口商品交易会期间，住宿费在限额标准范围内上浮100%。</w:t>
      </w:r>
    </w:p>
    <w:p>
      <w:pPr>
        <w:spacing w:line="560" w:lineRule="exact"/>
        <w:ind w:firstLine="645"/>
        <w:jc w:val="left"/>
        <w:rPr>
          <w:rFonts w:ascii="仿宋_GB2312" w:hAnsi="宋体" w:eastAsia="仿宋_GB2312" w:cs="Arial"/>
          <w:kern w:val="0"/>
          <w:sz w:val="32"/>
          <w:szCs w:val="32"/>
        </w:rPr>
      </w:pPr>
      <w:r>
        <w:rPr>
          <w:rFonts w:hint="eastAsia" w:ascii="仿宋_GB2312" w:hAnsi="宋体" w:eastAsia="仿宋_GB2312" w:cs="Arial"/>
          <w:kern w:val="0"/>
          <w:sz w:val="32"/>
          <w:szCs w:val="32"/>
        </w:rPr>
        <w:t>对于住宿费价格季节性变化明显的城市，住宿费限额标准在旺季可适当上浮一定比例。具体依照财政部发布的有关规定办理。</w:t>
      </w:r>
    </w:p>
    <w:p>
      <w:pPr>
        <w:spacing w:line="560" w:lineRule="exact"/>
        <w:ind w:firstLine="2870" w:firstLineChars="897"/>
        <w:rPr>
          <w:rFonts w:ascii="黑体" w:hAnsi="黑体" w:eastAsia="黑体"/>
          <w:color w:val="000000"/>
          <w:sz w:val="32"/>
          <w:szCs w:val="32"/>
        </w:rPr>
      </w:pPr>
      <w:r>
        <w:rPr>
          <w:rFonts w:hint="eastAsia" w:ascii="黑体" w:hAnsi="黑体" w:eastAsia="黑体"/>
          <w:color w:val="000000"/>
          <w:sz w:val="32"/>
          <w:szCs w:val="32"/>
        </w:rPr>
        <w:t>第五章  伙食补助费</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第十六条</w:t>
      </w:r>
      <w:r>
        <w:rPr>
          <w:rFonts w:hint="eastAsia" w:ascii="仿宋_GB2312" w:hAnsi="宋体" w:eastAsia="仿宋_GB2312" w:cs="Arial"/>
          <w:kern w:val="0"/>
          <w:sz w:val="32"/>
          <w:szCs w:val="32"/>
        </w:rPr>
        <w:t xml:space="preserve"> 伙食补助费是指对教职工因公出差期间伙食费用给予的适当补偿。按出差自然（日历）天数实行定额包干，出差到茂名市以外地区，每人每天发放伙食补助费100元。</w:t>
      </w:r>
    </w:p>
    <w:p>
      <w:pPr>
        <w:spacing w:line="560" w:lineRule="exact"/>
        <w:ind w:firstLine="645"/>
        <w:jc w:val="left"/>
        <w:rPr>
          <w:rFonts w:hint="eastAsia" w:ascii="仿宋_GB2312" w:hAnsi="宋体" w:eastAsia="仿宋_GB2312" w:cs="Arial"/>
          <w:kern w:val="0"/>
          <w:sz w:val="32"/>
          <w:szCs w:val="32"/>
        </w:rPr>
      </w:pPr>
      <w:r>
        <w:rPr>
          <w:rFonts w:hint="eastAsia" w:ascii="黑体" w:hAnsi="黑体" w:eastAsia="黑体"/>
          <w:color w:val="000000"/>
          <w:sz w:val="32"/>
          <w:szCs w:val="32"/>
        </w:rPr>
        <w:t>第十七条</w:t>
      </w:r>
      <w:r>
        <w:rPr>
          <w:rFonts w:hint="eastAsia" w:ascii="仿宋_GB2312" w:hAnsi="宋体" w:eastAsia="仿宋_GB2312" w:cs="Arial"/>
          <w:kern w:val="0"/>
          <w:sz w:val="32"/>
          <w:szCs w:val="32"/>
        </w:rPr>
        <w:t xml:space="preserve"> 出差到电白区中心城区以外的茂名市中心城区、</w:t>
      </w:r>
      <w:r>
        <w:rPr>
          <w:rFonts w:hint="eastAsia" w:ascii="仿宋_GB2312" w:hAnsi="宋体" w:eastAsia="仿宋_GB2312" w:cs="Arial"/>
          <w:kern w:val="0"/>
          <w:sz w:val="32"/>
          <w:szCs w:val="32"/>
          <w:lang w:eastAsia="zh-CN"/>
        </w:rPr>
        <w:t>茂</w:t>
      </w:r>
      <w:r>
        <w:rPr>
          <w:rFonts w:hint="eastAsia" w:ascii="仿宋_GB2312" w:hAnsi="宋体" w:eastAsia="仿宋_GB2312" w:cs="Arial"/>
          <w:kern w:val="0"/>
          <w:sz w:val="32"/>
          <w:szCs w:val="32"/>
        </w:rPr>
        <w:t>南区、滨海新区、高新区及县级市的，没有单位接待，并且已达到用餐时间的，按自然 (日历) 天数，每人每天发放伙食补助费80 元 (半天 40 元)。</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第十八条</w:t>
      </w:r>
      <w:r>
        <w:rPr>
          <w:rFonts w:hint="eastAsia" w:ascii="仿宋_GB2312" w:hAnsi="宋体" w:eastAsia="仿宋_GB2312" w:cs="Arial"/>
          <w:kern w:val="0"/>
          <w:sz w:val="32"/>
          <w:szCs w:val="32"/>
        </w:rPr>
        <w:t xml:space="preserve"> 出差人员应当自行解决用餐。凡由接待单位统一安排用餐的，应当向接待单位交纳伙食费。</w:t>
      </w:r>
    </w:p>
    <w:p>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第六章  与会、外派等的差旅费</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第十九条</w:t>
      </w:r>
      <w:r>
        <w:rPr>
          <w:rFonts w:hint="eastAsia" w:ascii="仿宋_GB2312" w:hAnsi="宋体" w:eastAsia="仿宋_GB2312" w:cs="Arial"/>
          <w:kern w:val="0"/>
          <w:sz w:val="32"/>
          <w:szCs w:val="32"/>
        </w:rPr>
        <w:t xml:space="preserve"> 教职工到电白区以外</w:t>
      </w:r>
      <w:r>
        <w:rPr>
          <w:rFonts w:hint="default" w:ascii="仿宋_GB2312" w:hAnsi="宋体" w:eastAsia="仿宋_GB2312" w:cs="仿宋_GB2312"/>
          <w:b w:val="0"/>
          <w:i w:val="0"/>
          <w:caps w:val="0"/>
          <w:color w:val="000000"/>
          <w:spacing w:val="0"/>
          <w:sz w:val="32"/>
          <w:szCs w:val="32"/>
        </w:rPr>
        <w:t>参加会议或培训的，报到或返程在途期间发生的城市间交通费、市内交通费、住宿费、伙食补助费按照前款有关规定报销。</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lang w:val="en-US" w:eastAsia="zh-CN"/>
        </w:rPr>
        <w:t xml:space="preserve">    </w:t>
      </w:r>
      <w:r>
        <w:rPr>
          <w:rFonts w:hint="eastAsia" w:ascii="仿宋_GB2312" w:hAnsi="宋体" w:eastAsia="仿宋_GB2312" w:cs="Arial"/>
          <w:kern w:val="0"/>
          <w:sz w:val="32"/>
          <w:szCs w:val="32"/>
        </w:rPr>
        <w:t>会议或培训期间的住宿费、伙食费及其他费用，如由举办方按照会议费及培训费管理统一开支的，不能报销住宿费及伙食补助费。如参加要求食宿费用自理的会议或培训，凭会议或培训通知、审批文件及住宿费、伙食费发票按前款标准报销，不能领取伙食补助费。</w:t>
      </w:r>
    </w:p>
    <w:p>
      <w:pPr>
        <w:spacing w:line="560" w:lineRule="exact"/>
        <w:ind w:firstLine="645"/>
        <w:jc w:val="left"/>
        <w:rPr>
          <w:rFonts w:ascii="仿宋_GB2312" w:hAnsi="宋体" w:eastAsia="仿宋_GB2312" w:cs="Arial"/>
          <w:kern w:val="0"/>
          <w:sz w:val="32"/>
          <w:szCs w:val="32"/>
        </w:rPr>
      </w:pPr>
      <w:r>
        <w:rPr>
          <w:rFonts w:hint="eastAsia" w:ascii="仿宋_GB2312" w:hAnsi="宋体" w:eastAsia="仿宋_GB2312" w:cs="Arial"/>
          <w:kern w:val="0"/>
          <w:sz w:val="32"/>
          <w:szCs w:val="32"/>
        </w:rPr>
        <w:t>会议或培训期间不能领取市内交通费补助。</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第二十条</w:t>
      </w:r>
      <w:r>
        <w:rPr>
          <w:rFonts w:hint="eastAsia" w:ascii="仿宋_GB2312" w:hAnsi="宋体" w:eastAsia="仿宋_GB2312" w:cs="Arial"/>
          <w:kern w:val="0"/>
          <w:sz w:val="32"/>
          <w:szCs w:val="32"/>
        </w:rPr>
        <w:t xml:space="preserve"> 到电白区中心城区以外实（见）习、挂职锻炼和参加支援工作的教职工，在途期间的城市间交通费、市内交通费、住宿费、伙食补助费按照前款差旅费规定执行；工作期间按工作日每人每天发放伙食补助费40元，不再报销住宿费和市内交通费。</w:t>
      </w:r>
    </w:p>
    <w:p>
      <w:pPr>
        <w:spacing w:line="560" w:lineRule="exact"/>
        <w:ind w:firstLine="2240" w:firstLineChars="700"/>
        <w:rPr>
          <w:rFonts w:ascii="黑体" w:hAnsi="黑体" w:eastAsia="黑体"/>
          <w:color w:val="000000"/>
          <w:sz w:val="32"/>
          <w:szCs w:val="32"/>
        </w:rPr>
      </w:pPr>
    </w:p>
    <w:p>
      <w:pPr>
        <w:spacing w:line="560" w:lineRule="exact"/>
        <w:ind w:firstLine="2240" w:firstLineChars="700"/>
        <w:rPr>
          <w:rFonts w:ascii="黑体" w:hAnsi="黑体" w:eastAsia="黑体"/>
          <w:color w:val="000000"/>
          <w:sz w:val="32"/>
          <w:szCs w:val="32"/>
        </w:rPr>
      </w:pPr>
      <w:r>
        <w:rPr>
          <w:rFonts w:hint="eastAsia" w:ascii="黑体" w:hAnsi="黑体" w:eastAsia="黑体"/>
          <w:color w:val="000000"/>
          <w:sz w:val="32"/>
          <w:szCs w:val="32"/>
        </w:rPr>
        <w:t>第七章  调动、搬迁的差旅费</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第二十一条</w:t>
      </w:r>
      <w:r>
        <w:rPr>
          <w:rFonts w:hint="eastAsia" w:ascii="仿宋_GB2312" w:hAnsi="宋体" w:eastAsia="仿宋_GB2312" w:cs="Arial"/>
          <w:kern w:val="0"/>
          <w:sz w:val="32"/>
          <w:szCs w:val="32"/>
        </w:rPr>
        <w:t xml:space="preserve"> 教职工因调动工作所发生的城市间交通费、住宿费、伙食补助费和市内交通费，按出差的有关规定执行，不得乘坐飞机。</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二</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由人事处正式通知前来面试的调入对象，面试后调入</w:t>
      </w:r>
      <w:r>
        <w:rPr>
          <w:rFonts w:hint="eastAsia" w:ascii="仿宋_GB2312" w:hAnsi="宋体" w:eastAsia="仿宋_GB2312" w:cs="Arial"/>
          <w:kern w:val="0"/>
          <w:sz w:val="32"/>
          <w:szCs w:val="32"/>
          <w:lang w:eastAsia="zh-CN"/>
        </w:rPr>
        <w:t>学院</w:t>
      </w:r>
      <w:r>
        <w:rPr>
          <w:rFonts w:hint="eastAsia" w:ascii="仿宋_GB2312" w:hAnsi="宋体" w:eastAsia="仿宋_GB2312" w:cs="Arial"/>
          <w:kern w:val="0"/>
          <w:sz w:val="32"/>
          <w:szCs w:val="32"/>
        </w:rPr>
        <w:t>的，可报销面试单程差旅费（限报销火车硬席卧铺以下车票）；遇特殊情况者需报双程或高于此标准的差旅费，须由院长审批后，方可报销。</w:t>
      </w:r>
    </w:p>
    <w:p>
      <w:pPr>
        <w:spacing w:line="560" w:lineRule="exact"/>
        <w:ind w:firstLine="2080" w:firstLineChars="650"/>
        <w:rPr>
          <w:rFonts w:ascii="黑体" w:hAnsi="黑体" w:eastAsia="黑体"/>
          <w:color w:val="000000"/>
          <w:sz w:val="32"/>
          <w:szCs w:val="32"/>
        </w:rPr>
      </w:pPr>
      <w:r>
        <w:rPr>
          <w:rFonts w:hint="eastAsia" w:ascii="黑体" w:hAnsi="黑体" w:eastAsia="黑体"/>
          <w:color w:val="000000"/>
          <w:sz w:val="32"/>
          <w:szCs w:val="32"/>
        </w:rPr>
        <w:t>第八章  外出实习、比赛的差旅费</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三</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教师带队外出实习（含顶岗实习）、带队外出参加各种比赛所发生的城市间交通费、住宿费、伙食补助费和市内交通费，按前款有关规定报销。</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四</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学生外出实习及比赛所发生的城市间交通费，乘坐火车</w:t>
      </w:r>
      <w:r>
        <w:rPr>
          <w:rFonts w:hint="eastAsia" w:ascii="仿宋_GB2312" w:hAnsi="宋体" w:eastAsia="仿宋_GB2312" w:cs="Arial"/>
          <w:kern w:val="0"/>
          <w:sz w:val="32"/>
          <w:szCs w:val="32"/>
          <w:lang w:eastAsia="zh-CN"/>
        </w:rPr>
        <w:t>（含高铁）</w:t>
      </w:r>
      <w:r>
        <w:rPr>
          <w:rFonts w:hint="eastAsia" w:ascii="仿宋_GB2312" w:hAnsi="宋体" w:eastAsia="仿宋_GB2312" w:cs="Arial"/>
          <w:kern w:val="0"/>
          <w:sz w:val="32"/>
          <w:szCs w:val="32"/>
        </w:rPr>
        <w:t>只报销火车硬座</w:t>
      </w:r>
      <w:r>
        <w:rPr>
          <w:rFonts w:hint="eastAsia" w:ascii="仿宋_GB2312" w:hAnsi="宋体" w:eastAsia="仿宋_GB2312" w:cs="Arial"/>
          <w:kern w:val="0"/>
          <w:sz w:val="32"/>
          <w:szCs w:val="32"/>
          <w:lang w:eastAsia="zh-CN"/>
        </w:rPr>
        <w:t>（含高铁二等座）</w:t>
      </w:r>
      <w:r>
        <w:rPr>
          <w:rFonts w:hint="eastAsia" w:ascii="仿宋_GB2312" w:hAnsi="宋体" w:eastAsia="仿宋_GB2312" w:cs="Arial"/>
          <w:kern w:val="0"/>
          <w:sz w:val="32"/>
          <w:szCs w:val="32"/>
        </w:rPr>
        <w:t>车票，连续乘火车12小时以上的可报销硬卧铺票；乘坐轮船报销最低一级床铺的舱位票，乘坐汽车的报销普通长途汽车座位票。</w:t>
      </w:r>
    </w:p>
    <w:p>
      <w:pPr>
        <w:spacing w:line="560" w:lineRule="exact"/>
        <w:ind w:firstLine="645"/>
        <w:jc w:val="left"/>
        <w:rPr>
          <w:rFonts w:hint="eastAsia" w:ascii="仿宋_GB2312" w:hAnsi="宋体" w:eastAsia="仿宋_GB2312" w:cs="Arial"/>
          <w:kern w:val="0"/>
          <w:sz w:val="32"/>
          <w:szCs w:val="32"/>
          <w:lang w:eastAsia="zh-CN"/>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五</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学生外出</w:t>
      </w:r>
      <w:r>
        <w:rPr>
          <w:rFonts w:hint="eastAsia" w:ascii="仿宋_GB2312" w:hAnsi="宋体" w:eastAsia="仿宋_GB2312" w:cs="Arial"/>
          <w:kern w:val="0"/>
          <w:sz w:val="32"/>
          <w:szCs w:val="32"/>
          <w:lang w:eastAsia="zh-CN"/>
        </w:rPr>
        <w:t>到茂名市以外地区</w:t>
      </w:r>
      <w:r>
        <w:rPr>
          <w:rFonts w:hint="eastAsia" w:ascii="仿宋_GB2312" w:hAnsi="宋体" w:eastAsia="仿宋_GB2312" w:cs="Arial"/>
          <w:kern w:val="0"/>
          <w:sz w:val="32"/>
          <w:szCs w:val="32"/>
        </w:rPr>
        <w:t>参加各种比赛，住宿费按照大赛安排的住宿标准凭据报销；没有安排的按标准间，每间每天280元标准内凭据报销；伙食费补助每人每天50元；报到或返程在途期间市内交通费每人每天30元</w:t>
      </w:r>
      <w:r>
        <w:rPr>
          <w:rFonts w:hint="eastAsia" w:ascii="仿宋_GB2312" w:hAnsi="宋体" w:eastAsia="仿宋_GB2312" w:cs="Arial"/>
          <w:kern w:val="0"/>
          <w:sz w:val="32"/>
          <w:szCs w:val="32"/>
          <w:lang w:eastAsia="zh-CN"/>
        </w:rPr>
        <w:t>。</w:t>
      </w:r>
    </w:p>
    <w:p>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第九章  探亲的差旅费</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六</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已婚教职工探望配偶往返车船费按规定标准实报实销，探望父母往返车船费在本人工资标准30%以内的，由本人自理，超过部分由单位报销；未婚教职工探望父母往返车船费按规定标准实报实销。</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七</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教职工探亲只报销普通空调长途汽车、轮船三等舱和火车硬卧票（不包括购票、送票手续费），不得报销出租汽车、高铁/动车和飞机票。</w:t>
      </w:r>
    </w:p>
    <w:p>
      <w:pPr>
        <w:spacing w:line="560" w:lineRule="exact"/>
        <w:ind w:firstLine="645"/>
        <w:jc w:val="left"/>
        <w:rPr>
          <w:rFonts w:ascii="仿宋_GB2312" w:hAnsi="Arial" w:eastAsia="仿宋_GB2312" w:cs="仿宋_GB2312"/>
          <w:color w:val="000000"/>
          <w:kern w:val="0"/>
          <w:sz w:val="32"/>
          <w:szCs w:val="32"/>
          <w:lang w:val="zh-CN"/>
        </w:rPr>
      </w:pPr>
      <w:r>
        <w:rPr>
          <w:rFonts w:hint="eastAsia" w:ascii="黑体" w:hAnsi="黑体" w:eastAsia="黑体"/>
          <w:color w:val="000000"/>
          <w:sz w:val="32"/>
          <w:szCs w:val="32"/>
        </w:rPr>
        <w:t>第二十</w:t>
      </w:r>
      <w:r>
        <w:rPr>
          <w:rFonts w:hint="eastAsia" w:ascii="黑体" w:hAnsi="黑体" w:eastAsia="黑体"/>
          <w:color w:val="000000"/>
          <w:sz w:val="32"/>
          <w:szCs w:val="32"/>
          <w:lang w:eastAsia="zh-CN"/>
        </w:rPr>
        <w:t>八</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教职工探亲往返途中，由于交通条件所限，必须中途转车、转船并在中转地点住宿的，每中转一次，不分职务，可在300元以内凭据按实报销1天的住宿费，如中转住宿费超过天数的，超支部分自理。</w:t>
      </w:r>
    </w:p>
    <w:p>
      <w:pPr>
        <w:spacing w:line="560" w:lineRule="exact"/>
        <w:jc w:val="center"/>
        <w:rPr>
          <w:rFonts w:ascii="仿宋_GB2312" w:hAnsi="宋体" w:eastAsia="仿宋_GB2312" w:cs="Arial"/>
          <w:kern w:val="0"/>
          <w:sz w:val="32"/>
          <w:szCs w:val="32"/>
        </w:rPr>
      </w:pPr>
      <w:r>
        <w:rPr>
          <w:rFonts w:hint="eastAsia" w:ascii="黑体" w:hAnsi="黑体" w:eastAsia="黑体"/>
          <w:color w:val="000000"/>
          <w:sz w:val="32"/>
          <w:szCs w:val="32"/>
        </w:rPr>
        <w:t>第十章  报销管理</w:t>
      </w:r>
    </w:p>
    <w:p>
      <w:pPr>
        <w:spacing w:line="560" w:lineRule="exact"/>
        <w:ind w:firstLine="645"/>
        <w:jc w:val="left"/>
        <w:rPr>
          <w:rFonts w:ascii="仿宋_GB2312" w:hAnsi="宋体" w:eastAsia="仿宋_GB2312" w:cs="Arial"/>
          <w:kern w:val="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二十九</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w:t>
      </w:r>
      <w:r>
        <w:rPr>
          <w:rFonts w:hint="eastAsia" w:ascii="仿宋_GB2312" w:hAnsi="宋体" w:eastAsia="仿宋_GB2312" w:cs="Arial"/>
          <w:kern w:val="0"/>
          <w:sz w:val="32"/>
          <w:szCs w:val="32"/>
          <w:lang w:eastAsia="zh-CN"/>
        </w:rPr>
        <w:t>学院</w:t>
      </w:r>
      <w:r>
        <w:rPr>
          <w:rFonts w:hint="eastAsia" w:ascii="仿宋_GB2312" w:hAnsi="宋体" w:eastAsia="仿宋_GB2312" w:cs="Arial"/>
          <w:kern w:val="0"/>
          <w:sz w:val="32"/>
          <w:szCs w:val="32"/>
        </w:rPr>
        <w:t>财务处应当严格按规定审核差旅费开</w:t>
      </w:r>
    </w:p>
    <w:p>
      <w:pPr>
        <w:spacing w:line="560" w:lineRule="exact"/>
        <w:jc w:val="left"/>
        <w:rPr>
          <w:rFonts w:ascii="仿宋_GB2312" w:hAnsi="宋体" w:eastAsia="仿宋_GB2312" w:cs="Arial"/>
          <w:kern w:val="0"/>
          <w:sz w:val="32"/>
          <w:szCs w:val="32"/>
        </w:rPr>
      </w:pPr>
      <w:r>
        <w:rPr>
          <w:rFonts w:hint="eastAsia" w:ascii="仿宋_GB2312" w:hAnsi="宋体" w:eastAsia="仿宋_GB2312" w:cs="Arial"/>
          <w:kern w:val="0"/>
          <w:sz w:val="32"/>
          <w:szCs w:val="32"/>
        </w:rPr>
        <w:t>支，对未经批准以及超范围、超标准开支的费用不予报销。</w:t>
      </w:r>
    </w:p>
    <w:p>
      <w:pPr>
        <w:spacing w:line="560" w:lineRule="exact"/>
        <w:jc w:val="left"/>
        <w:rPr>
          <w:rFonts w:ascii="仿宋_GB2312" w:hAnsi="宋体" w:eastAsia="仿宋_GB2312" w:cs="Arial"/>
          <w:kern w:val="0"/>
          <w:sz w:val="32"/>
          <w:szCs w:val="32"/>
        </w:rPr>
      </w:pPr>
      <w:r>
        <w:rPr>
          <w:rFonts w:hint="eastAsia" w:ascii="仿宋_GB2312" w:hAnsi="宋体" w:eastAsia="仿宋_GB2312" w:cs="Arial"/>
          <w:kern w:val="0"/>
          <w:sz w:val="32"/>
          <w:szCs w:val="32"/>
        </w:rPr>
        <w:t>其中：</w:t>
      </w:r>
    </w:p>
    <w:p>
      <w:pPr>
        <w:spacing w:line="560" w:lineRule="exact"/>
        <w:ind w:firstLine="645"/>
        <w:jc w:val="left"/>
        <w:rPr>
          <w:rFonts w:ascii="仿宋_GB2312" w:hAnsi="Arial" w:eastAsia="仿宋_GB2312" w:cs="Arial"/>
          <w:color w:val="000000"/>
          <w:kern w:val="0"/>
          <w:sz w:val="32"/>
          <w:szCs w:val="32"/>
        </w:rPr>
      </w:pPr>
      <w:r>
        <w:rPr>
          <w:rFonts w:hint="eastAsia" w:ascii="仿宋_GB2312" w:hAnsi="宋体" w:eastAsia="仿宋_GB2312" w:cs="Arial"/>
          <w:kern w:val="0"/>
          <w:sz w:val="32"/>
          <w:szCs w:val="32"/>
        </w:rPr>
        <w:t>（一）城市间交通费按乘坐交通工具的等级凭据报销，订票费、经批准发生的签转或退票费、乘坐交通工具的交通意外保险费凭据报销。</w:t>
      </w:r>
    </w:p>
    <w:p>
      <w:pPr>
        <w:spacing w:line="560" w:lineRule="exact"/>
        <w:ind w:firstLine="645"/>
        <w:jc w:val="left"/>
        <w:rPr>
          <w:rFonts w:ascii="仿宋_GB2312" w:hAnsi="宋体" w:eastAsia="仿宋_GB2312" w:cs="Arial"/>
          <w:kern w:val="0"/>
          <w:sz w:val="32"/>
          <w:szCs w:val="32"/>
        </w:rPr>
      </w:pPr>
      <w:r>
        <w:rPr>
          <w:rFonts w:hint="eastAsia" w:ascii="仿宋_GB2312" w:hAnsi="宋体" w:eastAsia="仿宋_GB2312" w:cs="Arial"/>
          <w:kern w:val="0"/>
          <w:sz w:val="32"/>
          <w:szCs w:val="32"/>
        </w:rPr>
        <w:t>（二）住宿费在标准限额之内凭发票据实报销。如遇特殊情况无住宿发票的，需填写无住宿发票的情况说明书经单位（部门）负责人确认，财务处负责人审核，分管财务院领导审批后，按第十五条规定的标准发放住宿补助；如对方（实习）单位免费提供住宿的，不能领取住宿费补助。</w:t>
      </w:r>
    </w:p>
    <w:p>
      <w:pPr>
        <w:spacing w:line="560" w:lineRule="exact"/>
        <w:ind w:firstLine="645"/>
        <w:jc w:val="left"/>
        <w:rPr>
          <w:rFonts w:ascii="仿宋_GB2312" w:hAnsi="Arial" w:eastAsia="仿宋_GB2312" w:cs="Arial"/>
          <w:kern w:val="0"/>
          <w:sz w:val="32"/>
          <w:szCs w:val="32"/>
        </w:rPr>
      </w:pPr>
      <w:r>
        <w:rPr>
          <w:rFonts w:hint="eastAsia" w:ascii="仿宋_GB2312" w:hAnsi="宋体" w:eastAsia="仿宋_GB2312" w:cs="Arial"/>
          <w:kern w:val="0"/>
          <w:sz w:val="32"/>
          <w:szCs w:val="32"/>
        </w:rPr>
        <w:t>（三）伙食补助费和市内交通费按规定标准报销包干使用，不能既领取伙食补助费又报销伙食费，不能既领取市内交通补助又报销市内交通费。</w:t>
      </w:r>
      <w:r>
        <w:rPr>
          <w:rFonts w:hint="eastAsia" w:ascii="仿宋_GB2312" w:hAnsi="Arial" w:eastAsia="仿宋_GB2312" w:cs="Arial"/>
          <w:kern w:val="0"/>
          <w:sz w:val="32"/>
          <w:szCs w:val="32"/>
        </w:rPr>
        <w:t xml:space="preserve"> </w:t>
      </w:r>
    </w:p>
    <w:p>
      <w:pPr>
        <w:spacing w:line="560" w:lineRule="exact"/>
        <w:ind w:firstLine="640" w:firstLineChars="200"/>
        <w:jc w:val="left"/>
        <w:rPr>
          <w:rFonts w:ascii="仿宋_GB2312" w:hAnsi="宋体" w:eastAsia="仿宋_GB2312" w:cs="Arial"/>
          <w:kern w:val="0"/>
          <w:sz w:val="32"/>
          <w:szCs w:val="32"/>
        </w:rPr>
      </w:pPr>
      <w:r>
        <w:rPr>
          <w:rFonts w:hint="eastAsia" w:ascii="黑体" w:hAnsi="黑体" w:eastAsia="黑体"/>
          <w:color w:val="000000"/>
          <w:sz w:val="32"/>
          <w:szCs w:val="32"/>
        </w:rPr>
        <w:t>第三十条</w:t>
      </w:r>
      <w:r>
        <w:rPr>
          <w:rFonts w:hint="eastAsia" w:ascii="仿宋_GB2312" w:hAnsi="宋体" w:eastAsia="仿宋_GB2312" w:cs="Arial"/>
          <w:kern w:val="0"/>
          <w:sz w:val="32"/>
          <w:szCs w:val="32"/>
        </w:rPr>
        <w:t xml:space="preserve"> 出差人员差旅活动结束后应当及时办理报销手续。差旅费报销时应当提供由</w:t>
      </w:r>
      <w:r>
        <w:rPr>
          <w:rFonts w:hint="eastAsia" w:ascii="仿宋_GB2312" w:hAnsi="宋体" w:eastAsia="仿宋_GB2312" w:cs="Arial"/>
          <w:kern w:val="0"/>
          <w:sz w:val="32"/>
          <w:szCs w:val="32"/>
          <w:lang w:eastAsia="zh-CN"/>
        </w:rPr>
        <w:t>学院</w:t>
      </w:r>
      <w:r>
        <w:rPr>
          <w:rFonts w:hint="eastAsia" w:ascii="仿宋_GB2312" w:hAnsi="宋体" w:eastAsia="仿宋_GB2312" w:cs="Arial"/>
          <w:kern w:val="0"/>
          <w:sz w:val="32"/>
          <w:szCs w:val="32"/>
        </w:rPr>
        <w:t>领导或部门领导批准的出差或培训申请表（参加会议和培训的还需附会议和培训通知文件），以及机票、车船票、住宿费发票等凭证。乘坐汽车的应当到正规公共汽车站乘车，凭汽车站正规车票报销，手撕车票不予报销；会议费或培训费、住宿费、机票支出等按规定使用公务卡或银行转账结算。</w:t>
      </w:r>
    </w:p>
    <w:p>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第十一章  监督问责</w:t>
      </w:r>
    </w:p>
    <w:p>
      <w:pPr>
        <w:spacing w:line="560" w:lineRule="exact"/>
        <w:ind w:firstLine="576" w:firstLineChars="180"/>
        <w:jc w:val="left"/>
        <w:rPr>
          <w:rFonts w:ascii="仿宋_GB2312" w:hAnsi="宋体" w:eastAsia="仿宋_GB2312" w:cs="Arial"/>
          <w:kern w:val="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一</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w:t>
      </w:r>
      <w:r>
        <w:rPr>
          <w:rFonts w:hint="eastAsia" w:ascii="仿宋_GB2312" w:hAnsi="宋体" w:eastAsia="仿宋_GB2312" w:cs="Arial"/>
          <w:kern w:val="0"/>
          <w:sz w:val="32"/>
          <w:szCs w:val="32"/>
          <w:lang w:eastAsia="zh-CN"/>
        </w:rPr>
        <w:t>学院</w:t>
      </w:r>
      <w:r>
        <w:rPr>
          <w:rFonts w:hint="eastAsia" w:ascii="仿宋_GB2312" w:hAnsi="宋体" w:eastAsia="仿宋_GB2312" w:cs="Arial"/>
          <w:kern w:val="0"/>
          <w:sz w:val="32"/>
          <w:szCs w:val="32"/>
        </w:rPr>
        <w:t xml:space="preserve">加强对教职工差旅活动和经费报销的内控管理，对差旅审批制度、差旅费预算及规模控制负责，相关领导、财务人员等对差旅费报销进行审核把关，确保票据来源合法，内容真实完整、合规。对未经批准擅自出差、不按规定开支和报销差旅费的人员进行严肃处理。 </w:t>
      </w:r>
    </w:p>
    <w:p>
      <w:pPr>
        <w:spacing w:line="560" w:lineRule="exact"/>
        <w:ind w:firstLine="576" w:firstLineChars="180"/>
        <w:jc w:val="left"/>
        <w:rPr>
          <w:rFonts w:ascii="仿宋_GB2312" w:hAnsi="宋体" w:eastAsia="仿宋_GB2312" w:cs="Arial"/>
          <w:kern w:val="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二</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教职工出差期间，因游览或非工作需要的参观而开支的费用，均由个人自理。出差人员不得向接待单位提出正常公务活动以外的要求，不得在出差期间接受违反规定用公款支付的宴请、游览和非工作需要的参观，不得接受礼品、礼金和土特产品等。 </w:t>
      </w:r>
    </w:p>
    <w:p>
      <w:pPr>
        <w:spacing w:line="560" w:lineRule="exact"/>
        <w:ind w:firstLine="579" w:firstLineChars="181"/>
        <w:jc w:val="left"/>
        <w:rPr>
          <w:rFonts w:ascii="仿宋_GB2312" w:hAnsi="Arial" w:eastAsia="仿宋_GB2312" w:cs="Arial"/>
          <w:color w:val="000000"/>
          <w:kern w:val="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三</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w:t>
      </w:r>
      <w:r>
        <w:rPr>
          <w:rFonts w:hint="eastAsia" w:ascii="仿宋_GB2312" w:hAnsi="宋体" w:eastAsia="仿宋_GB2312" w:cs="Arial"/>
          <w:kern w:val="0"/>
          <w:sz w:val="32"/>
          <w:szCs w:val="32"/>
          <w:lang w:eastAsia="zh-CN"/>
        </w:rPr>
        <w:t>学院</w:t>
      </w:r>
      <w:r>
        <w:rPr>
          <w:rFonts w:hint="eastAsia" w:ascii="仿宋_GB2312" w:hAnsi="宋体" w:eastAsia="仿宋_GB2312" w:cs="Arial"/>
          <w:kern w:val="0"/>
          <w:sz w:val="32"/>
          <w:szCs w:val="32"/>
        </w:rPr>
        <w:t>财务处、</w:t>
      </w:r>
      <w:r>
        <w:rPr>
          <w:rFonts w:hint="eastAsia" w:ascii="仿宋_GB2312" w:hAnsi="宋体" w:eastAsia="仿宋_GB2312" w:cs="Arial"/>
          <w:kern w:val="0"/>
          <w:sz w:val="32"/>
          <w:szCs w:val="32"/>
          <w:lang w:eastAsia="zh-CN"/>
        </w:rPr>
        <w:t>党政纪检办公</w:t>
      </w:r>
      <w:r>
        <w:rPr>
          <w:rFonts w:hint="eastAsia" w:ascii="仿宋_GB2312" w:hAnsi="宋体" w:eastAsia="仿宋_GB2312" w:cs="Arial"/>
          <w:kern w:val="0"/>
          <w:sz w:val="32"/>
          <w:szCs w:val="32"/>
        </w:rPr>
        <w:t>室对各单位（部门）差旅费管理和使用情况进行监督检查。主要内容包括：</w:t>
      </w:r>
      <w:r>
        <w:rPr>
          <w:rFonts w:hint="eastAsia" w:ascii="仿宋_GB2312" w:hAnsi="Arial" w:eastAsia="仿宋_GB2312" w:cs="Arial"/>
          <w:color w:val="000000"/>
          <w:kern w:val="0"/>
          <w:sz w:val="32"/>
          <w:szCs w:val="32"/>
        </w:rPr>
        <w:t xml:space="preserve"> </w:t>
      </w:r>
    </w:p>
    <w:p>
      <w:pPr>
        <w:spacing w:line="560" w:lineRule="exact"/>
        <w:ind w:firstLine="579" w:firstLineChars="181"/>
        <w:jc w:val="left"/>
        <w:rPr>
          <w:rFonts w:ascii="仿宋_GB2312" w:hAnsi="宋体" w:eastAsia="仿宋_GB2312" w:cs="Arial"/>
          <w:kern w:val="0"/>
          <w:sz w:val="32"/>
          <w:szCs w:val="32"/>
        </w:rPr>
      </w:pPr>
      <w:r>
        <w:rPr>
          <w:rFonts w:hint="eastAsia" w:ascii="仿宋_GB2312" w:hAnsi="宋体" w:eastAsia="仿宋_GB2312" w:cs="Arial"/>
          <w:color w:val="000000"/>
          <w:kern w:val="0"/>
          <w:sz w:val="32"/>
          <w:szCs w:val="32"/>
        </w:rPr>
        <w:t>（</w:t>
      </w:r>
      <w:r>
        <w:rPr>
          <w:rFonts w:hint="eastAsia" w:ascii="仿宋_GB2312" w:hAnsi="宋体" w:eastAsia="仿宋_GB2312" w:cs="Arial"/>
          <w:kern w:val="0"/>
          <w:sz w:val="32"/>
          <w:szCs w:val="32"/>
        </w:rPr>
        <w:t xml:space="preserve">一）出差活动是否按规定履行审批手续； </w:t>
      </w:r>
    </w:p>
    <w:p>
      <w:pPr>
        <w:spacing w:line="560" w:lineRule="exact"/>
        <w:ind w:firstLine="579" w:firstLineChars="181"/>
        <w:jc w:val="lef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（二）差旅费开支范围和开支标准是否符合规定； </w:t>
      </w:r>
    </w:p>
    <w:p>
      <w:pPr>
        <w:spacing w:line="560" w:lineRule="exact"/>
        <w:ind w:firstLine="579" w:firstLineChars="181"/>
        <w:jc w:val="lef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（三）差旅费报销是否符合规定； </w:t>
      </w:r>
    </w:p>
    <w:p>
      <w:pPr>
        <w:spacing w:line="560" w:lineRule="exact"/>
        <w:ind w:firstLine="579" w:firstLineChars="181"/>
        <w:jc w:val="left"/>
        <w:rPr>
          <w:rFonts w:ascii="仿宋_GB2312" w:hAnsi="宋体" w:eastAsia="仿宋_GB2312" w:cs="Arial"/>
          <w:kern w:val="0"/>
          <w:sz w:val="32"/>
          <w:szCs w:val="32"/>
        </w:rPr>
      </w:pPr>
      <w:r>
        <w:rPr>
          <w:rFonts w:hint="eastAsia" w:ascii="仿宋_GB2312" w:hAnsi="宋体" w:eastAsia="仿宋_GB2312" w:cs="Arial"/>
          <w:kern w:val="0"/>
          <w:sz w:val="32"/>
          <w:szCs w:val="32"/>
        </w:rPr>
        <w:t>（四）是否转嫁差旅费；</w:t>
      </w:r>
    </w:p>
    <w:p>
      <w:pPr>
        <w:spacing w:line="560" w:lineRule="exact"/>
        <w:ind w:firstLine="579" w:firstLineChars="181"/>
        <w:jc w:val="left"/>
        <w:rPr>
          <w:rFonts w:ascii="仿宋_GB2312" w:hAnsi="宋体" w:eastAsia="仿宋_GB2312" w:cs="Arial"/>
          <w:kern w:val="0"/>
          <w:sz w:val="32"/>
          <w:szCs w:val="32"/>
        </w:rPr>
      </w:pPr>
      <w:r>
        <w:rPr>
          <w:rFonts w:hint="eastAsia" w:ascii="仿宋_GB2312" w:hAnsi="宋体" w:eastAsia="仿宋_GB2312" w:cs="Arial"/>
          <w:kern w:val="0"/>
          <w:sz w:val="32"/>
          <w:szCs w:val="32"/>
        </w:rPr>
        <w:t>（五）是否存在虚报、假报差旅费；</w:t>
      </w:r>
    </w:p>
    <w:p>
      <w:pPr>
        <w:spacing w:line="560" w:lineRule="exact"/>
        <w:ind w:firstLine="579" w:firstLineChars="181"/>
        <w:jc w:val="left"/>
        <w:rPr>
          <w:rFonts w:ascii="仿宋_GB2312" w:hAnsi="宋体" w:eastAsia="仿宋_GB2312" w:cs="Arial"/>
          <w:kern w:val="0"/>
          <w:sz w:val="32"/>
          <w:szCs w:val="32"/>
        </w:rPr>
      </w:pPr>
      <w:r>
        <w:rPr>
          <w:rFonts w:hint="eastAsia" w:ascii="仿宋_GB2312" w:hAnsi="宋体" w:eastAsia="仿宋_GB2312" w:cs="Arial"/>
          <w:kern w:val="0"/>
          <w:sz w:val="32"/>
          <w:szCs w:val="32"/>
        </w:rPr>
        <w:t>（六）差旅费管理办法规定的其他情况。</w:t>
      </w:r>
    </w:p>
    <w:p>
      <w:pPr>
        <w:spacing w:line="560" w:lineRule="exact"/>
        <w:ind w:firstLine="640" w:firstLineChars="200"/>
        <w:jc w:val="left"/>
        <w:rPr>
          <w:rFonts w:ascii="仿宋_GB2312" w:hAnsi="Arial" w:eastAsia="仿宋_GB2312" w:cs="Arial"/>
          <w:color w:val="000000"/>
          <w:kern w:val="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四</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违反本办法规定，有下列行为之一的，由前款所列监督检查部门责令改正，依法依规追究相关单位（部门）和人员的责任，对违规定资金予以追回，并视情况予以通报。对直接责任人和相关负责人，报</w:t>
      </w:r>
      <w:r>
        <w:rPr>
          <w:rFonts w:hint="eastAsia" w:ascii="仿宋_GB2312" w:hAnsi="宋体" w:eastAsia="仿宋_GB2312" w:cs="Arial"/>
          <w:kern w:val="0"/>
          <w:sz w:val="32"/>
          <w:szCs w:val="32"/>
          <w:lang w:eastAsia="zh-CN"/>
        </w:rPr>
        <w:t>学院</w:t>
      </w:r>
      <w:r>
        <w:rPr>
          <w:rFonts w:hint="eastAsia" w:ascii="仿宋_GB2312" w:hAnsi="宋体" w:eastAsia="仿宋_GB2312" w:cs="Arial"/>
          <w:kern w:val="0"/>
          <w:sz w:val="32"/>
          <w:szCs w:val="32"/>
        </w:rPr>
        <w:t>按规定给予行政处分。涉嫌违法的，移送司法机关处理。</w:t>
      </w:r>
      <w:r>
        <w:rPr>
          <w:rFonts w:hint="eastAsia" w:ascii="仿宋_GB2312" w:hAnsi="Arial" w:eastAsia="仿宋_GB2312" w:cs="Arial"/>
          <w:color w:val="000000"/>
          <w:kern w:val="0"/>
          <w:sz w:val="32"/>
          <w:szCs w:val="32"/>
        </w:rPr>
        <w:t xml:space="preserve"> </w:t>
      </w:r>
    </w:p>
    <w:p>
      <w:pPr>
        <w:spacing w:line="560" w:lineRule="exact"/>
        <w:ind w:firstLine="579" w:firstLineChars="181"/>
        <w:jc w:val="left"/>
        <w:rPr>
          <w:rFonts w:ascii="仿宋_GB2312" w:hAnsi="Arial" w:eastAsia="仿宋_GB2312" w:cs="Arial"/>
          <w:color w:val="000000"/>
          <w:kern w:val="0"/>
          <w:sz w:val="32"/>
          <w:szCs w:val="32"/>
        </w:rPr>
      </w:pPr>
      <w:r>
        <w:rPr>
          <w:rFonts w:hint="eastAsia" w:ascii="仿宋_GB2312" w:hAnsi="宋体" w:eastAsia="仿宋_GB2312" w:cs="Arial"/>
          <w:color w:val="000000"/>
          <w:kern w:val="0"/>
          <w:sz w:val="32"/>
          <w:szCs w:val="32"/>
        </w:rPr>
        <w:t>（一）无差旅审批或差旅审批不严的；</w:t>
      </w:r>
      <w:r>
        <w:rPr>
          <w:rFonts w:hint="eastAsia" w:ascii="仿宋_GB2312" w:hAnsi="Arial" w:eastAsia="仿宋_GB2312" w:cs="Arial"/>
          <w:color w:val="000000"/>
          <w:kern w:val="0"/>
          <w:sz w:val="32"/>
          <w:szCs w:val="32"/>
        </w:rPr>
        <w:t xml:space="preserve"> </w:t>
      </w:r>
    </w:p>
    <w:p>
      <w:pPr>
        <w:spacing w:line="560" w:lineRule="exact"/>
        <w:ind w:firstLine="579" w:firstLineChars="181"/>
        <w:jc w:val="left"/>
        <w:rPr>
          <w:rFonts w:ascii="仿宋_GB2312" w:hAnsi="Arial" w:eastAsia="仿宋_GB2312" w:cs="Arial"/>
          <w:color w:val="000000"/>
          <w:kern w:val="0"/>
          <w:sz w:val="32"/>
          <w:szCs w:val="32"/>
        </w:rPr>
      </w:pPr>
      <w:r>
        <w:rPr>
          <w:rFonts w:hint="eastAsia" w:ascii="仿宋_GB2312" w:hAnsi="宋体" w:eastAsia="仿宋_GB2312" w:cs="Arial"/>
          <w:color w:val="000000"/>
          <w:kern w:val="0"/>
          <w:sz w:val="32"/>
          <w:szCs w:val="32"/>
        </w:rPr>
        <w:t>（二）弄虚作假，虚报冒领差旅费的；</w:t>
      </w:r>
      <w:r>
        <w:rPr>
          <w:rFonts w:hint="eastAsia" w:ascii="仿宋_GB2312" w:hAnsi="Arial" w:eastAsia="仿宋_GB2312" w:cs="Arial"/>
          <w:color w:val="000000"/>
          <w:kern w:val="0"/>
          <w:sz w:val="32"/>
          <w:szCs w:val="32"/>
        </w:rPr>
        <w:t xml:space="preserve"> </w:t>
      </w:r>
    </w:p>
    <w:p>
      <w:pPr>
        <w:spacing w:line="560" w:lineRule="exact"/>
        <w:ind w:firstLine="579" w:firstLineChars="181"/>
        <w:jc w:val="left"/>
        <w:rPr>
          <w:rFonts w:ascii="仿宋_GB2312" w:hAnsi="Arial" w:eastAsia="仿宋_GB2312" w:cs="Arial"/>
          <w:color w:val="000000"/>
          <w:kern w:val="0"/>
          <w:sz w:val="32"/>
          <w:szCs w:val="32"/>
        </w:rPr>
      </w:pPr>
      <w:r>
        <w:rPr>
          <w:rFonts w:hint="eastAsia" w:ascii="仿宋_GB2312" w:hAnsi="宋体" w:eastAsia="仿宋_GB2312" w:cs="Arial"/>
          <w:color w:val="000000"/>
          <w:kern w:val="0"/>
          <w:sz w:val="32"/>
          <w:szCs w:val="32"/>
        </w:rPr>
        <w:t>（三）违规扩大差旅费开支范围，擅自提高开支标准的；</w:t>
      </w:r>
      <w:r>
        <w:rPr>
          <w:rFonts w:hint="eastAsia" w:ascii="仿宋_GB2312" w:hAnsi="Arial" w:eastAsia="仿宋_GB2312" w:cs="Arial"/>
          <w:color w:val="000000"/>
          <w:kern w:val="0"/>
          <w:sz w:val="32"/>
          <w:szCs w:val="32"/>
        </w:rPr>
        <w:t xml:space="preserve"> </w:t>
      </w:r>
    </w:p>
    <w:p>
      <w:pPr>
        <w:spacing w:line="560" w:lineRule="exact"/>
        <w:ind w:firstLine="579" w:firstLineChars="181"/>
        <w:jc w:val="left"/>
        <w:rPr>
          <w:rFonts w:ascii="仿宋_GB2312" w:hAnsi="Arial" w:eastAsia="仿宋_GB2312" w:cs="Arial"/>
          <w:color w:val="000000"/>
          <w:kern w:val="0"/>
          <w:sz w:val="32"/>
          <w:szCs w:val="32"/>
        </w:rPr>
      </w:pPr>
      <w:r>
        <w:rPr>
          <w:rFonts w:hint="eastAsia" w:ascii="仿宋_GB2312" w:hAnsi="宋体" w:eastAsia="仿宋_GB2312" w:cs="Arial"/>
          <w:color w:val="000000"/>
          <w:kern w:val="0"/>
          <w:sz w:val="32"/>
          <w:szCs w:val="32"/>
        </w:rPr>
        <w:t>（四）不按规定报销差旅费的；</w:t>
      </w:r>
      <w:r>
        <w:rPr>
          <w:rFonts w:hint="eastAsia" w:ascii="仿宋_GB2312" w:hAnsi="Arial" w:eastAsia="仿宋_GB2312" w:cs="Arial"/>
          <w:color w:val="000000"/>
          <w:kern w:val="0"/>
          <w:sz w:val="32"/>
          <w:szCs w:val="32"/>
        </w:rPr>
        <w:t xml:space="preserve"> </w:t>
      </w:r>
    </w:p>
    <w:p>
      <w:pPr>
        <w:spacing w:line="560" w:lineRule="exact"/>
        <w:ind w:firstLine="579" w:firstLineChars="181"/>
        <w:jc w:val="left"/>
        <w:rPr>
          <w:rFonts w:ascii="仿宋_GB2312" w:hAnsi="Arial" w:eastAsia="仿宋_GB2312" w:cs="Arial"/>
          <w:color w:val="000000"/>
          <w:kern w:val="0"/>
          <w:sz w:val="32"/>
          <w:szCs w:val="32"/>
        </w:rPr>
      </w:pPr>
      <w:r>
        <w:rPr>
          <w:rFonts w:hint="eastAsia" w:ascii="仿宋_GB2312" w:hAnsi="宋体" w:eastAsia="仿宋_GB2312" w:cs="Arial"/>
          <w:color w:val="000000"/>
          <w:kern w:val="0"/>
          <w:sz w:val="32"/>
          <w:szCs w:val="32"/>
        </w:rPr>
        <w:t>（五）转嫁差旅费的；</w:t>
      </w:r>
      <w:r>
        <w:rPr>
          <w:rFonts w:hint="eastAsia" w:ascii="仿宋_GB2312" w:hAnsi="Arial" w:eastAsia="仿宋_GB2312" w:cs="Arial"/>
          <w:color w:val="000000"/>
          <w:kern w:val="0"/>
          <w:sz w:val="32"/>
          <w:szCs w:val="32"/>
        </w:rPr>
        <w:t xml:space="preserve"> </w:t>
      </w:r>
    </w:p>
    <w:p>
      <w:pPr>
        <w:spacing w:line="560" w:lineRule="exact"/>
        <w:ind w:firstLine="579" w:firstLineChars="181"/>
        <w:jc w:val="left"/>
        <w:rPr>
          <w:rFonts w:ascii="仿宋_GB2312" w:hAnsi="Arial" w:eastAsia="仿宋_GB2312" w:cs="Arial"/>
          <w:color w:val="000000"/>
          <w:kern w:val="0"/>
          <w:sz w:val="32"/>
          <w:szCs w:val="32"/>
        </w:rPr>
      </w:pPr>
      <w:r>
        <w:rPr>
          <w:rFonts w:hint="eastAsia" w:ascii="仿宋_GB2312" w:hAnsi="宋体" w:eastAsia="仿宋_GB2312" w:cs="Arial"/>
          <w:color w:val="000000"/>
          <w:kern w:val="0"/>
          <w:sz w:val="32"/>
          <w:szCs w:val="32"/>
        </w:rPr>
        <w:t>（六）违反差旅费管理规定的其他行为。</w:t>
      </w:r>
      <w:r>
        <w:rPr>
          <w:rFonts w:hint="eastAsia" w:ascii="仿宋_GB2312" w:hAnsi="Arial" w:eastAsia="仿宋_GB2312" w:cs="Arial"/>
          <w:color w:val="000000"/>
          <w:kern w:val="0"/>
          <w:sz w:val="32"/>
          <w:szCs w:val="32"/>
        </w:rPr>
        <w:t xml:space="preserve"> </w:t>
      </w:r>
    </w:p>
    <w:p>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第十二章  附 则</w:t>
      </w:r>
    </w:p>
    <w:p>
      <w:pPr>
        <w:spacing w:line="560" w:lineRule="exact"/>
        <w:ind w:firstLine="576" w:firstLineChars="180"/>
        <w:jc w:val="left"/>
        <w:rPr>
          <w:rFonts w:ascii="仿宋_GB2312" w:hAnsi="宋体" w:eastAsia="仿宋_GB2312" w:cs="Arial"/>
          <w:kern w:val="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五</w:t>
      </w:r>
      <w:r>
        <w:rPr>
          <w:rFonts w:hint="eastAsia" w:ascii="黑体" w:hAnsi="黑体" w:eastAsia="黑体"/>
          <w:color w:val="000000"/>
          <w:sz w:val="32"/>
          <w:szCs w:val="32"/>
        </w:rPr>
        <w:t>条</w:t>
      </w:r>
      <w:r>
        <w:rPr>
          <w:rFonts w:hint="eastAsia" w:ascii="仿宋_GB2312" w:hAnsi="宋体" w:eastAsia="仿宋_GB2312" w:cs="Arial"/>
          <w:kern w:val="0"/>
          <w:sz w:val="32"/>
          <w:szCs w:val="32"/>
        </w:rPr>
        <w:t xml:space="preserve"> 因公出国（境</w:t>
      </w:r>
      <w:r>
        <w:rPr>
          <w:rFonts w:ascii="仿宋_GB2312" w:hAnsi="宋体" w:eastAsia="仿宋_GB2312" w:cs="Arial"/>
          <w:kern w:val="0"/>
          <w:sz w:val="32"/>
          <w:szCs w:val="32"/>
        </w:rPr>
        <w:t>）所发生的费用，按上级有关制度执行。</w:t>
      </w:r>
    </w:p>
    <w:p>
      <w:pPr>
        <w:spacing w:line="560" w:lineRule="exact"/>
        <w:ind w:firstLine="576" w:firstLineChars="180"/>
        <w:jc w:val="left"/>
        <w:rPr>
          <w:rFonts w:ascii="仿宋_GB2312" w:hAnsi="宋体" w:eastAsia="仿宋_GB2312" w:cs="Arial"/>
          <w:kern w:val="0"/>
          <w:sz w:val="32"/>
          <w:szCs w:val="32"/>
        </w:rPr>
      </w:pPr>
      <w:r>
        <w:rPr>
          <w:rFonts w:ascii="黑体" w:hAnsi="黑体" w:eastAsia="黑体"/>
          <w:color w:val="000000"/>
          <w:sz w:val="32"/>
          <w:szCs w:val="32"/>
        </w:rPr>
        <w:t>第三十</w:t>
      </w:r>
      <w:r>
        <w:rPr>
          <w:rFonts w:hint="eastAsia" w:ascii="黑体" w:hAnsi="黑体" w:eastAsia="黑体"/>
          <w:color w:val="000000"/>
          <w:sz w:val="32"/>
          <w:szCs w:val="32"/>
          <w:lang w:eastAsia="zh-CN"/>
        </w:rPr>
        <w:t>六</w:t>
      </w:r>
      <w:r>
        <w:rPr>
          <w:rFonts w:ascii="黑体" w:hAnsi="黑体" w:eastAsia="黑体"/>
          <w:color w:val="000000"/>
          <w:sz w:val="32"/>
          <w:szCs w:val="32"/>
        </w:rPr>
        <w:t>条</w:t>
      </w:r>
      <w:r>
        <w:rPr>
          <w:rFonts w:hint="eastAsia" w:ascii="仿宋_GB2312" w:hAnsi="宋体" w:eastAsia="仿宋_GB2312" w:cs="Arial"/>
          <w:kern w:val="0"/>
          <w:sz w:val="32"/>
          <w:szCs w:val="32"/>
        </w:rPr>
        <w:t xml:space="preserve"> 本办法由</w:t>
      </w:r>
      <w:r>
        <w:rPr>
          <w:rFonts w:hint="eastAsia" w:ascii="仿宋_GB2312" w:hAnsi="宋体" w:eastAsia="仿宋_GB2312" w:cs="Arial"/>
          <w:kern w:val="0"/>
          <w:sz w:val="32"/>
          <w:szCs w:val="32"/>
          <w:lang w:eastAsia="zh-CN"/>
        </w:rPr>
        <w:t>学院</w:t>
      </w:r>
      <w:r>
        <w:rPr>
          <w:rFonts w:hint="eastAsia" w:ascii="仿宋_GB2312" w:hAnsi="宋体" w:eastAsia="仿宋_GB2312" w:cs="Arial"/>
          <w:kern w:val="0"/>
          <w:sz w:val="32"/>
          <w:szCs w:val="32"/>
        </w:rPr>
        <w:t>授权财务处负责解释。</w:t>
      </w:r>
    </w:p>
    <w:p>
      <w:pPr>
        <w:spacing w:line="560" w:lineRule="exact"/>
        <w:ind w:firstLine="579" w:firstLineChars="181"/>
        <w:jc w:val="left"/>
        <w:rPr>
          <w:rFonts w:ascii="仿宋_GB2312" w:hAnsi="宋体" w:eastAsia="仿宋_GB2312" w:cs="Arial"/>
          <w:kern w:val="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七</w:t>
      </w:r>
      <w:r>
        <w:rPr>
          <w:rFonts w:hint="eastAsia" w:ascii="黑体" w:hAnsi="黑体" w:eastAsia="黑体"/>
          <w:color w:val="000000"/>
          <w:sz w:val="32"/>
          <w:szCs w:val="32"/>
        </w:rPr>
        <w:t>条</w:t>
      </w:r>
      <w:r>
        <w:rPr>
          <w:rFonts w:hint="eastAsia" w:ascii="仿宋_GB2312" w:hAnsi="宋体" w:eastAsia="仿宋_GB2312" w:cs="Arial"/>
          <w:b/>
          <w:kern w:val="0"/>
          <w:sz w:val="32"/>
          <w:szCs w:val="32"/>
        </w:rPr>
        <w:t xml:space="preserve"> </w:t>
      </w:r>
      <w:r>
        <w:rPr>
          <w:rFonts w:hint="eastAsia" w:ascii="仿宋_GB2312" w:hAnsi="宋体" w:eastAsia="仿宋_GB2312" w:cs="Arial"/>
          <w:kern w:val="0"/>
          <w:sz w:val="32"/>
          <w:szCs w:val="32"/>
        </w:rPr>
        <w:t>本办法从发文之日起执行。</w:t>
      </w:r>
    </w:p>
    <w:p>
      <w:pPr>
        <w:adjustRightInd w:val="0"/>
        <w:snapToGrid w:val="0"/>
        <w:spacing w:line="380" w:lineRule="exact"/>
        <w:rPr>
          <w:rFonts w:ascii="黑体" w:eastAsia="黑体"/>
          <w:kern w:val="0"/>
          <w:sz w:val="32"/>
          <w:szCs w:val="32"/>
        </w:rPr>
      </w:pPr>
    </w:p>
    <w:p>
      <w:pPr>
        <w:adjustRightInd w:val="0"/>
        <w:snapToGrid w:val="0"/>
        <w:spacing w:line="380" w:lineRule="exact"/>
        <w:rPr>
          <w:rFonts w:ascii="黑体" w:eastAsia="黑体"/>
          <w:kern w:val="0"/>
          <w:sz w:val="32"/>
          <w:szCs w:val="32"/>
        </w:rPr>
      </w:pPr>
    </w:p>
    <w:p>
      <w:pPr>
        <w:adjustRightInd w:val="0"/>
        <w:snapToGrid w:val="0"/>
        <w:spacing w:line="380" w:lineRule="exact"/>
        <w:rPr>
          <w:rFonts w:ascii="黑体" w:eastAsia="黑体"/>
          <w:kern w:val="0"/>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5"/>
    <w:rsid w:val="003E3B50"/>
    <w:rsid w:val="006B75FA"/>
    <w:rsid w:val="0082429A"/>
    <w:rsid w:val="00BA67FF"/>
    <w:rsid w:val="00D31455"/>
    <w:rsid w:val="00E93E3C"/>
    <w:rsid w:val="00F8143E"/>
    <w:rsid w:val="04E44C9D"/>
    <w:rsid w:val="0B905938"/>
    <w:rsid w:val="0D623F01"/>
    <w:rsid w:val="10432EAF"/>
    <w:rsid w:val="1354481C"/>
    <w:rsid w:val="140D3FE2"/>
    <w:rsid w:val="141162DD"/>
    <w:rsid w:val="19F1294A"/>
    <w:rsid w:val="1AAA734A"/>
    <w:rsid w:val="1B8B15ED"/>
    <w:rsid w:val="1CF46712"/>
    <w:rsid w:val="1EC943C7"/>
    <w:rsid w:val="271355E6"/>
    <w:rsid w:val="282E5C90"/>
    <w:rsid w:val="2A8156AD"/>
    <w:rsid w:val="2C460586"/>
    <w:rsid w:val="2E5C21B3"/>
    <w:rsid w:val="2E831C39"/>
    <w:rsid w:val="32047DFE"/>
    <w:rsid w:val="33E93BEF"/>
    <w:rsid w:val="356B417A"/>
    <w:rsid w:val="36AA014D"/>
    <w:rsid w:val="3780663D"/>
    <w:rsid w:val="3AE527D6"/>
    <w:rsid w:val="3BD11EE0"/>
    <w:rsid w:val="3D5804A6"/>
    <w:rsid w:val="3D8C08C3"/>
    <w:rsid w:val="3D8F7C9D"/>
    <w:rsid w:val="3FE04210"/>
    <w:rsid w:val="40BD19CD"/>
    <w:rsid w:val="431A3E86"/>
    <w:rsid w:val="45EA16E1"/>
    <w:rsid w:val="47184526"/>
    <w:rsid w:val="4C983269"/>
    <w:rsid w:val="50BD3449"/>
    <w:rsid w:val="529B3720"/>
    <w:rsid w:val="53307064"/>
    <w:rsid w:val="579F57C2"/>
    <w:rsid w:val="582E03BB"/>
    <w:rsid w:val="5A337F82"/>
    <w:rsid w:val="61CC424E"/>
    <w:rsid w:val="641D52F0"/>
    <w:rsid w:val="655E573A"/>
    <w:rsid w:val="6695168B"/>
    <w:rsid w:val="67B34CBE"/>
    <w:rsid w:val="6A0B5CF7"/>
    <w:rsid w:val="6D3E1E16"/>
    <w:rsid w:val="71AC7479"/>
    <w:rsid w:val="745373B7"/>
    <w:rsid w:val="74675C81"/>
    <w:rsid w:val="76206919"/>
    <w:rsid w:val="77815F68"/>
    <w:rsid w:val="77FC79C3"/>
    <w:rsid w:val="7CA039E7"/>
    <w:rsid w:val="7D41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727</Words>
  <Characters>4149</Characters>
  <Lines>34</Lines>
  <Paragraphs>9</Paragraphs>
  <TotalTime>0</TotalTime>
  <ScaleCrop>false</ScaleCrop>
  <LinksUpToDate>false</LinksUpToDate>
  <CharactersWithSpaces>4867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2017-05-13T00:46:00Z</dcterms:created>
  <dc:creator>罗良宏</dc:creator>
  <cp:lastModifiedBy>戴海凤</cp:lastModifiedBy>
  <cp:lastPrinted>2019-12-17T00:24:00Z</cp:lastPrinted>
  <dcterms:modified xsi:type="dcterms:W3CDTF">2020-03-18T12:08:07Z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